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156" w:rsidRDefault="0098515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85156" w:rsidRDefault="00985156">
      <w:pPr>
        <w:pStyle w:val="ConsPlusNormal"/>
        <w:jc w:val="both"/>
        <w:outlineLvl w:val="0"/>
      </w:pPr>
    </w:p>
    <w:p w:rsidR="00985156" w:rsidRDefault="00985156">
      <w:pPr>
        <w:pStyle w:val="ConsPlusNormal"/>
        <w:outlineLvl w:val="0"/>
      </w:pPr>
      <w:r>
        <w:t>Зарегистрировано в Минюсте России 21 мая 2010 г. N 17321</w:t>
      </w:r>
    </w:p>
    <w:p w:rsidR="00985156" w:rsidRDefault="009851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5156" w:rsidRDefault="00985156">
      <w:pPr>
        <w:pStyle w:val="ConsPlusNormal"/>
        <w:jc w:val="center"/>
      </w:pPr>
    </w:p>
    <w:p w:rsidR="00985156" w:rsidRDefault="00985156">
      <w:pPr>
        <w:pStyle w:val="ConsPlusTitle"/>
        <w:jc w:val="center"/>
      </w:pPr>
      <w:r>
        <w:t>МИНИСТЕРСТВО ТРАНСПОРТА РОССИЙСКОЙ ФЕДЕРАЦИИ</w:t>
      </w:r>
    </w:p>
    <w:p w:rsidR="00985156" w:rsidRDefault="00985156">
      <w:pPr>
        <w:pStyle w:val="ConsPlusTitle"/>
        <w:jc w:val="center"/>
      </w:pPr>
    </w:p>
    <w:p w:rsidR="00985156" w:rsidRDefault="00985156">
      <w:pPr>
        <w:pStyle w:val="ConsPlusTitle"/>
        <w:jc w:val="center"/>
      </w:pPr>
      <w:r>
        <w:t>ПРИКАЗ</w:t>
      </w:r>
    </w:p>
    <w:p w:rsidR="00985156" w:rsidRDefault="00985156">
      <w:pPr>
        <w:pStyle w:val="ConsPlusTitle"/>
        <w:jc w:val="center"/>
      </w:pPr>
      <w:r>
        <w:t>от 12 апреля 2010 г. N 87</w:t>
      </w:r>
    </w:p>
    <w:p w:rsidR="00985156" w:rsidRDefault="00985156">
      <w:pPr>
        <w:pStyle w:val="ConsPlusTitle"/>
        <w:jc w:val="center"/>
      </w:pPr>
    </w:p>
    <w:p w:rsidR="00985156" w:rsidRDefault="00985156">
      <w:pPr>
        <w:pStyle w:val="ConsPlusTitle"/>
        <w:jc w:val="center"/>
      </w:pPr>
      <w:r>
        <w:t>О ПОРЯДКЕ</w:t>
      </w:r>
    </w:p>
    <w:p w:rsidR="00985156" w:rsidRDefault="00985156">
      <w:pPr>
        <w:pStyle w:val="ConsPlusTitle"/>
        <w:jc w:val="center"/>
      </w:pPr>
      <w:r>
        <w:t>ПРОВЕДЕНИЯ ОЦЕНКИ УЯЗВИМОСТИ ОБЪЕКТОВ ТРАНСПОРТНОЙ</w:t>
      </w:r>
    </w:p>
    <w:p w:rsidR="00985156" w:rsidRDefault="00985156">
      <w:pPr>
        <w:pStyle w:val="ConsPlusTitle"/>
        <w:jc w:val="center"/>
      </w:pPr>
      <w:r>
        <w:t>ИНФРАСТРУКТУРЫ И ТРАНСПОРТНЫХ СРЕДСТВ</w:t>
      </w:r>
    </w:p>
    <w:p w:rsidR="00985156" w:rsidRDefault="0098515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515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5156" w:rsidRDefault="009851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5156" w:rsidRDefault="0098515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Минтранса России от 26.07.2011 </w:t>
            </w:r>
            <w:hyperlink r:id="rId6" w:history="1">
              <w:r>
                <w:rPr>
                  <w:color w:val="0000FF"/>
                </w:rPr>
                <w:t>N 199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85156" w:rsidRDefault="009851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18.08.2016 </w:t>
            </w:r>
            <w:hyperlink r:id="rId7" w:history="1">
              <w:r>
                <w:rPr>
                  <w:color w:val="0000FF"/>
                </w:rPr>
                <w:t>N 245</w:t>
              </w:r>
            </w:hyperlink>
            <w:r>
              <w:rPr>
                <w:color w:val="392C69"/>
              </w:rPr>
              <w:t xml:space="preserve">, от 18.04.2018 </w:t>
            </w:r>
            <w:hyperlink r:id="rId8" w:history="1">
              <w:r>
                <w:rPr>
                  <w:color w:val="0000FF"/>
                </w:rPr>
                <w:t>N 155</w:t>
              </w:r>
            </w:hyperlink>
            <w:r>
              <w:rPr>
                <w:color w:val="392C69"/>
              </w:rPr>
              <w:t xml:space="preserve">, от 26.02.2019 </w:t>
            </w:r>
            <w:hyperlink r:id="rId9" w:history="1">
              <w:r>
                <w:rPr>
                  <w:color w:val="0000FF"/>
                </w:rPr>
                <w:t>N 58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85156" w:rsidRDefault="00985156">
      <w:pPr>
        <w:pStyle w:val="ConsPlusNormal"/>
        <w:ind w:firstLine="540"/>
        <w:jc w:val="both"/>
      </w:pPr>
    </w:p>
    <w:p w:rsidR="00985156" w:rsidRDefault="00985156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пунктом 1 статьи 5</w:t>
        </w:r>
      </w:hyperlink>
      <w:r>
        <w:t xml:space="preserve"> Федерального закона от 9 февраля 2007 г. N 16-ФЗ "О транспортной безопасности" (Собрание законодательства Российской Федерации, 2007, N 7 (часть I), ст. 837; 2008, N 30 (часть II), ст. 3616; 2009, N 29, ст. 3634) приказываю:</w:t>
      </w:r>
    </w:p>
    <w:p w:rsidR="00985156" w:rsidRDefault="00985156">
      <w:pPr>
        <w:pStyle w:val="ConsPlusNormal"/>
        <w:spacing w:before="240"/>
        <w:ind w:firstLine="540"/>
        <w:jc w:val="both"/>
      </w:pPr>
      <w:r>
        <w:t xml:space="preserve">Утвердить прилагаемый </w:t>
      </w:r>
      <w:hyperlink w:anchor="P30" w:history="1">
        <w:r>
          <w:rPr>
            <w:color w:val="0000FF"/>
          </w:rPr>
          <w:t>Порядок</w:t>
        </w:r>
      </w:hyperlink>
      <w:r>
        <w:t xml:space="preserve"> </w:t>
      </w:r>
      <w:proofErr w:type="gramStart"/>
      <w:r>
        <w:t>проведения оценки уязвимости объектов транспортной инфраструктуры</w:t>
      </w:r>
      <w:proofErr w:type="gramEnd"/>
      <w:r>
        <w:t xml:space="preserve"> и транспортных средств.</w:t>
      </w:r>
    </w:p>
    <w:p w:rsidR="00985156" w:rsidRDefault="00985156">
      <w:pPr>
        <w:pStyle w:val="ConsPlusNormal"/>
        <w:ind w:firstLine="540"/>
        <w:jc w:val="both"/>
      </w:pPr>
    </w:p>
    <w:p w:rsidR="00985156" w:rsidRDefault="00985156">
      <w:pPr>
        <w:pStyle w:val="ConsPlusNormal"/>
        <w:jc w:val="right"/>
      </w:pPr>
      <w:r>
        <w:t>Министр</w:t>
      </w:r>
    </w:p>
    <w:p w:rsidR="00985156" w:rsidRDefault="00985156">
      <w:pPr>
        <w:pStyle w:val="ConsPlusNormal"/>
        <w:jc w:val="right"/>
      </w:pPr>
      <w:r>
        <w:t>И.Е.ЛЕВИТИН</w:t>
      </w:r>
    </w:p>
    <w:p w:rsidR="00985156" w:rsidRDefault="00985156">
      <w:pPr>
        <w:pStyle w:val="ConsPlusNormal"/>
        <w:ind w:firstLine="540"/>
        <w:jc w:val="both"/>
      </w:pPr>
    </w:p>
    <w:p w:rsidR="00985156" w:rsidRDefault="00985156">
      <w:pPr>
        <w:pStyle w:val="ConsPlusNormal"/>
        <w:ind w:firstLine="540"/>
        <w:jc w:val="both"/>
      </w:pPr>
    </w:p>
    <w:p w:rsidR="00985156" w:rsidRDefault="00985156">
      <w:pPr>
        <w:pStyle w:val="ConsPlusNormal"/>
        <w:ind w:firstLine="540"/>
        <w:jc w:val="both"/>
      </w:pPr>
    </w:p>
    <w:p w:rsidR="00985156" w:rsidRDefault="00985156">
      <w:pPr>
        <w:pStyle w:val="ConsPlusNormal"/>
        <w:ind w:firstLine="540"/>
        <w:jc w:val="both"/>
      </w:pPr>
    </w:p>
    <w:p w:rsidR="00985156" w:rsidRDefault="00985156">
      <w:pPr>
        <w:pStyle w:val="ConsPlusNormal"/>
        <w:ind w:firstLine="540"/>
        <w:jc w:val="both"/>
      </w:pPr>
    </w:p>
    <w:p w:rsidR="00985156" w:rsidRDefault="00985156">
      <w:pPr>
        <w:pStyle w:val="ConsPlusNormal"/>
        <w:jc w:val="right"/>
        <w:outlineLvl w:val="0"/>
      </w:pPr>
      <w:r>
        <w:t>Утвержден</w:t>
      </w:r>
    </w:p>
    <w:p w:rsidR="00985156" w:rsidRDefault="00985156">
      <w:pPr>
        <w:pStyle w:val="ConsPlusNormal"/>
        <w:jc w:val="right"/>
      </w:pPr>
      <w:r>
        <w:t>Приказом Минтранса России</w:t>
      </w:r>
    </w:p>
    <w:p w:rsidR="00985156" w:rsidRDefault="00985156">
      <w:pPr>
        <w:pStyle w:val="ConsPlusNormal"/>
        <w:jc w:val="right"/>
      </w:pPr>
      <w:r>
        <w:t>от 12 апреля 2010 г. N 87</w:t>
      </w:r>
    </w:p>
    <w:p w:rsidR="00985156" w:rsidRDefault="00985156">
      <w:pPr>
        <w:pStyle w:val="ConsPlusNormal"/>
        <w:jc w:val="center"/>
      </w:pPr>
    </w:p>
    <w:p w:rsidR="00985156" w:rsidRDefault="00985156">
      <w:pPr>
        <w:pStyle w:val="ConsPlusTitle"/>
        <w:jc w:val="center"/>
      </w:pPr>
      <w:bookmarkStart w:id="0" w:name="P30"/>
      <w:bookmarkEnd w:id="0"/>
      <w:r>
        <w:t>ПОРЯДОК</w:t>
      </w:r>
    </w:p>
    <w:p w:rsidR="00985156" w:rsidRDefault="00985156">
      <w:pPr>
        <w:pStyle w:val="ConsPlusTitle"/>
        <w:jc w:val="center"/>
      </w:pPr>
      <w:r>
        <w:t>ПРОВЕДЕНИЯ ОЦЕНКИ УЯЗВИМОСТИ ОБЪЕКТОВ ТРАНСПОРТНОЙ</w:t>
      </w:r>
    </w:p>
    <w:p w:rsidR="00985156" w:rsidRDefault="00985156">
      <w:pPr>
        <w:pStyle w:val="ConsPlusTitle"/>
        <w:jc w:val="center"/>
      </w:pPr>
      <w:r>
        <w:t>ИНФРАСТРУКТУРЫ И ТРАНСПОРТНЫХ СРЕДСТВ</w:t>
      </w:r>
    </w:p>
    <w:p w:rsidR="00985156" w:rsidRDefault="0098515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515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5156" w:rsidRDefault="009851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5156" w:rsidRDefault="0098515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Минтранса России от 26.07.2011 </w:t>
            </w:r>
            <w:hyperlink r:id="rId11" w:history="1">
              <w:r>
                <w:rPr>
                  <w:color w:val="0000FF"/>
                </w:rPr>
                <w:t>N 199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85156" w:rsidRDefault="009851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18.08.2016 </w:t>
            </w:r>
            <w:hyperlink r:id="rId12" w:history="1">
              <w:r>
                <w:rPr>
                  <w:color w:val="0000FF"/>
                </w:rPr>
                <w:t>N 245</w:t>
              </w:r>
            </w:hyperlink>
            <w:r>
              <w:rPr>
                <w:color w:val="392C69"/>
              </w:rPr>
              <w:t xml:space="preserve">, от 18.04.2018 </w:t>
            </w:r>
            <w:hyperlink r:id="rId13" w:history="1">
              <w:r>
                <w:rPr>
                  <w:color w:val="0000FF"/>
                </w:rPr>
                <w:t>N 155</w:t>
              </w:r>
            </w:hyperlink>
            <w:r>
              <w:rPr>
                <w:color w:val="392C69"/>
              </w:rPr>
              <w:t xml:space="preserve">, от 26.02.2019 </w:t>
            </w:r>
            <w:hyperlink r:id="rId14" w:history="1">
              <w:r>
                <w:rPr>
                  <w:color w:val="0000FF"/>
                </w:rPr>
                <w:t>N 58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85156" w:rsidRDefault="00985156">
      <w:pPr>
        <w:pStyle w:val="ConsPlusNormal"/>
        <w:jc w:val="center"/>
      </w:pPr>
    </w:p>
    <w:p w:rsidR="00985156" w:rsidRDefault="00985156">
      <w:pPr>
        <w:pStyle w:val="ConsPlusNormal"/>
        <w:ind w:firstLine="540"/>
        <w:jc w:val="both"/>
      </w:pPr>
      <w:r>
        <w:t xml:space="preserve">1. Порядок, проведения оценки уязвимости объектов транспортной инфраструктуры и транспортных средств (далее - Порядок) разработан в соответствии с </w:t>
      </w:r>
      <w:hyperlink r:id="rId15" w:history="1">
        <w:r>
          <w:rPr>
            <w:color w:val="0000FF"/>
          </w:rPr>
          <w:t>частями 1</w:t>
        </w:r>
      </w:hyperlink>
      <w:r>
        <w:t xml:space="preserve"> и </w:t>
      </w:r>
      <w:hyperlink r:id="rId16" w:history="1">
        <w:r>
          <w:rPr>
            <w:color w:val="0000FF"/>
          </w:rPr>
          <w:t>6 статьи 5</w:t>
        </w:r>
      </w:hyperlink>
      <w:r>
        <w:t xml:space="preserve"> Федерального закона "О транспортной безопасности" &lt;*&gt;.</w:t>
      </w:r>
    </w:p>
    <w:p w:rsidR="00985156" w:rsidRDefault="00985156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Минтранса России от 18.08.2016 N 245)</w:t>
      </w:r>
    </w:p>
    <w:p w:rsidR="00985156" w:rsidRDefault="00985156">
      <w:pPr>
        <w:pStyle w:val="ConsPlusNormal"/>
        <w:spacing w:before="240"/>
        <w:ind w:firstLine="540"/>
        <w:jc w:val="both"/>
      </w:pPr>
      <w:r>
        <w:lastRenderedPageBreak/>
        <w:t>--------------------------------</w:t>
      </w:r>
    </w:p>
    <w:p w:rsidR="00985156" w:rsidRDefault="00985156">
      <w:pPr>
        <w:pStyle w:val="ConsPlusNormal"/>
        <w:spacing w:before="240"/>
        <w:ind w:firstLine="540"/>
        <w:jc w:val="both"/>
      </w:pPr>
      <w:r>
        <w:t>&lt;*&gt; Собрание законодательства Российской Федерации, 2007, N 7 (ч. 1), ст. 837; 2008, N 30 (ч. 2), ст. 3616; 2009, N 29, ст. 3634; 2010, N 27 (ч. 1), ст. 3415; 2011, N 7, ст. 901, N 30 (ч. 1), ст. 4569, 4590; 2013, N 30 (ч. 1), ст. 4041, 4058; 2014, N 6, ст. 566; 2015, N 27, ст. 3959, N 29 (ч. 1), ст. 4356; 2016, N 26 (ч. 1), ст. 3870, N 28, ст. 4558.</w:t>
      </w:r>
    </w:p>
    <w:p w:rsidR="00985156" w:rsidRDefault="00985156">
      <w:pPr>
        <w:pStyle w:val="ConsPlusNormal"/>
        <w:jc w:val="both"/>
      </w:pPr>
      <w:r>
        <w:t xml:space="preserve">(сноска 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Минтранса России от 18.08.2016 N 245)</w:t>
      </w:r>
    </w:p>
    <w:p w:rsidR="00985156" w:rsidRDefault="00985156">
      <w:pPr>
        <w:pStyle w:val="ConsPlusNormal"/>
        <w:ind w:firstLine="540"/>
        <w:jc w:val="both"/>
      </w:pPr>
    </w:p>
    <w:p w:rsidR="00985156" w:rsidRDefault="00985156">
      <w:pPr>
        <w:pStyle w:val="ConsPlusNormal"/>
        <w:ind w:firstLine="540"/>
        <w:jc w:val="both"/>
      </w:pPr>
      <w:r>
        <w:t xml:space="preserve">2. Оценка уязвимости объекта транспортной инфраструктуры и/или транспортного средства (далее - оценка уязвимости) проводится в целях </w:t>
      </w:r>
      <w:proofErr w:type="gramStart"/>
      <w:r>
        <w:t>определения степени защищенности объекта транспортной инфраструктуры</w:t>
      </w:r>
      <w:proofErr w:type="gramEnd"/>
      <w:r>
        <w:t xml:space="preserve"> и транспортного средства от потенциальных угроз совершения актов незаконного вмешательства в деятельность объектов транспортной инфраструктуры и транспортных средств.</w:t>
      </w:r>
    </w:p>
    <w:p w:rsidR="00985156" w:rsidRDefault="00985156">
      <w:pPr>
        <w:pStyle w:val="ConsPlusNormal"/>
        <w:spacing w:before="240"/>
        <w:ind w:firstLine="540"/>
        <w:jc w:val="both"/>
      </w:pPr>
      <w:proofErr w:type="gramStart"/>
      <w:r>
        <w:t>Оценка уязвимости акватории морского порта проводится в целях определения степени защищенности от потенциальных угроз совершения актов незаконного вмешательства в отношении судов, находящихся в акватории морского порта, возможности незаконного нахождения или перемещения судов, принятия мер капитаном морского порта по обнаружению судов, их идентификации, установления с ними радиосвязи, прекращения их незаконного нахождения, перемещения в акватории морского порта.</w:t>
      </w:r>
      <w:proofErr w:type="gramEnd"/>
    </w:p>
    <w:p w:rsidR="00985156" w:rsidRDefault="00985156">
      <w:pPr>
        <w:pStyle w:val="ConsPlusNormal"/>
        <w:jc w:val="both"/>
      </w:pPr>
      <w:r>
        <w:t xml:space="preserve">(абзац введен </w:t>
      </w:r>
      <w:hyperlink r:id="rId19" w:history="1">
        <w:r>
          <w:rPr>
            <w:color w:val="0000FF"/>
          </w:rPr>
          <w:t>Приказом</w:t>
        </w:r>
      </w:hyperlink>
      <w:r>
        <w:t xml:space="preserve"> Минтранса России от 18.08.2016 N 245)</w:t>
      </w:r>
    </w:p>
    <w:p w:rsidR="00985156" w:rsidRDefault="00985156">
      <w:pPr>
        <w:pStyle w:val="ConsPlusNormal"/>
        <w:spacing w:before="240"/>
        <w:ind w:firstLine="540"/>
        <w:jc w:val="both"/>
      </w:pPr>
      <w:proofErr w:type="gramStart"/>
      <w:r>
        <w:t xml:space="preserve">Оценка уязвимости акватории морского порта включает в себя оценку охраны акватории морского порта и проводится с учетом требований, установленных главой XI-2 Международной </w:t>
      </w:r>
      <w:hyperlink r:id="rId20" w:history="1">
        <w:r>
          <w:rPr>
            <w:color w:val="0000FF"/>
          </w:rPr>
          <w:t>конвенции</w:t>
        </w:r>
      </w:hyperlink>
      <w:r>
        <w:t xml:space="preserve"> по охране человеческой жизни на море 1974 года (принята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Совета Министров СССР от 2 ноября 1979 г. N 975 "О принятии СССР Международной конвенции по охране человеческой жизни на море 1974 года"), Международным кодексом по охране</w:t>
      </w:r>
      <w:proofErr w:type="gramEnd"/>
      <w:r>
        <w:t xml:space="preserve"> </w:t>
      </w:r>
      <w:hyperlink r:id="rId22" w:history="1">
        <w:r>
          <w:rPr>
            <w:color w:val="0000FF"/>
          </w:rPr>
          <w:t>судов</w:t>
        </w:r>
      </w:hyperlink>
      <w:r>
        <w:t xml:space="preserve"> и портовых средств и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9 февраля 2007 г. N 16-ФЗ "О транспортной безопасности".</w:t>
      </w:r>
    </w:p>
    <w:p w:rsidR="00985156" w:rsidRDefault="00985156">
      <w:pPr>
        <w:pStyle w:val="ConsPlusNormal"/>
        <w:jc w:val="both"/>
      </w:pPr>
      <w:r>
        <w:t xml:space="preserve">(абзац введен </w:t>
      </w:r>
      <w:hyperlink r:id="rId24" w:history="1">
        <w:r>
          <w:rPr>
            <w:color w:val="0000FF"/>
          </w:rPr>
          <w:t>Приказом</w:t>
        </w:r>
      </w:hyperlink>
      <w:r>
        <w:t xml:space="preserve"> Минтранса России от 18.08.2016 N 245)</w:t>
      </w:r>
    </w:p>
    <w:p w:rsidR="00985156" w:rsidRDefault="00985156">
      <w:pPr>
        <w:pStyle w:val="ConsPlusNormal"/>
        <w:spacing w:before="240"/>
        <w:ind w:firstLine="540"/>
        <w:jc w:val="both"/>
      </w:pPr>
      <w:r>
        <w:t>3. В ходе проведения оценки уязвимости осуществляется:</w:t>
      </w:r>
    </w:p>
    <w:p w:rsidR="00985156" w:rsidRDefault="00985156">
      <w:pPr>
        <w:pStyle w:val="ConsPlusNormal"/>
        <w:spacing w:before="240"/>
        <w:ind w:firstLine="540"/>
        <w:jc w:val="both"/>
      </w:pPr>
      <w:r>
        <w:t>3.1. В отношении объектов транспортной инфраструктуры и транспортных средств, за исключением акватории морского порта:</w:t>
      </w:r>
    </w:p>
    <w:p w:rsidR="00985156" w:rsidRDefault="00985156">
      <w:pPr>
        <w:pStyle w:val="ConsPlusNormal"/>
        <w:spacing w:before="240"/>
        <w:ind w:firstLine="540"/>
        <w:jc w:val="both"/>
      </w:pPr>
      <w:r>
        <w:t>3.1.1. Изучение технических и технологических характеристик объекта транспортной инфраструктуры или транспортного средства (включая геологические, гидрологические и географические особенности дислокации объекта транспортной инфраструктуры), а также организации их эксплуатации (функционирования).</w:t>
      </w:r>
    </w:p>
    <w:p w:rsidR="00985156" w:rsidRDefault="00985156">
      <w:pPr>
        <w:pStyle w:val="ConsPlusNormal"/>
        <w:spacing w:before="240"/>
        <w:ind w:firstLine="540"/>
        <w:jc w:val="both"/>
      </w:pPr>
      <w:proofErr w:type="gramStart"/>
      <w:r>
        <w:t xml:space="preserve">Результатом изучения является описание технических и технологических характеристик объекта транспортной инфраструктуры или транспортного средства (включая геологические, гидрологические и географические особенности дислокации объекта транспортной инфраструктуры), а также организации их эксплуатации (функционирования), определение границ зоны транспортной безопасности, ее частей и перечня критических элементов объекта транспортной инфраструктуры или транспортного средства, которые определяются в случае проведения оценки уязвимости организациями, указанными в </w:t>
      </w:r>
      <w:hyperlink r:id="rId25" w:history="1">
        <w:r>
          <w:rPr>
            <w:color w:val="0000FF"/>
          </w:rPr>
          <w:t>части 2 статьи</w:t>
        </w:r>
        <w:proofErr w:type="gramEnd"/>
        <w:r>
          <w:rPr>
            <w:color w:val="0000FF"/>
          </w:rPr>
          <w:t xml:space="preserve"> 5</w:t>
        </w:r>
      </w:hyperlink>
      <w:r>
        <w:t xml:space="preserve"> Федерального закона от 9 февраля 2007 г. N 16-ФЗ "О транспортной безопасности" (далее - специализированные организации), по согласованию с субъектом транспортной инфраструктуры либо в отношении транспортных средств субъектами транспортной инфраструктуры.</w:t>
      </w:r>
    </w:p>
    <w:p w:rsidR="00985156" w:rsidRDefault="00985156">
      <w:pPr>
        <w:pStyle w:val="ConsPlusNormal"/>
        <w:jc w:val="both"/>
      </w:pPr>
      <w:r>
        <w:lastRenderedPageBreak/>
        <w:t xml:space="preserve">(в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Минтранса России от 18.04.2018 N 155)</w:t>
      </w:r>
    </w:p>
    <w:p w:rsidR="00985156" w:rsidRDefault="00985156">
      <w:pPr>
        <w:pStyle w:val="ConsPlusNormal"/>
        <w:spacing w:before="240"/>
        <w:ind w:firstLine="540"/>
        <w:jc w:val="both"/>
      </w:pPr>
      <w:r>
        <w:t>3.1.2. Изучение системы принятых на объекте транспортной инфраструктуры или транспортном средстве мер по защите от актов незаконного вмешательства.</w:t>
      </w:r>
    </w:p>
    <w:p w:rsidR="00985156" w:rsidRDefault="00985156">
      <w:pPr>
        <w:pStyle w:val="ConsPlusNormal"/>
        <w:spacing w:before="240"/>
        <w:ind w:firstLine="540"/>
        <w:jc w:val="both"/>
      </w:pPr>
      <w:r>
        <w:t>Результатом изучения является описание системы принятых субъектом транспортной инфраструктуры мер на объекте транспортной инфраструктуры и/или транспортном средстве по защите от актов незаконного вмешательства, а также оценка ее соответствия требованиям по обеспечению транспортной безопасности объектов транспортной инфраструктуры и транспортных средств.</w:t>
      </w:r>
    </w:p>
    <w:p w:rsidR="00985156" w:rsidRDefault="00985156">
      <w:pPr>
        <w:pStyle w:val="ConsPlusNormal"/>
        <w:spacing w:before="240"/>
        <w:ind w:firstLine="540"/>
        <w:jc w:val="both"/>
      </w:pPr>
      <w:r>
        <w:t xml:space="preserve">3.1.3. Изучение </w:t>
      </w:r>
      <w:proofErr w:type="gramStart"/>
      <w:r>
        <w:t>способов реализации потенциальных угроз совершения актов незаконного вмешательства</w:t>
      </w:r>
      <w:proofErr w:type="gramEnd"/>
      <w:r>
        <w:t xml:space="preserve"> в деятельность объекта транспортной инфраструктуры и транспортного средства с использованием совокупности сведений о численности, оснащенности, подготовленности, осведомленности, а также действий потенциальных нарушителей, преследуемых целей при совершении акта незаконного вмешательства в деятельность объекта транспортной инфраструктуры и транспортного средства (далее - модель нарушителя).</w:t>
      </w:r>
    </w:p>
    <w:p w:rsidR="00985156" w:rsidRDefault="00985156">
      <w:pPr>
        <w:pStyle w:val="ConsPlusNormal"/>
        <w:spacing w:before="240"/>
        <w:ind w:firstLine="540"/>
        <w:jc w:val="both"/>
      </w:pPr>
      <w:r>
        <w:t xml:space="preserve">Результатом изучения является описание </w:t>
      </w:r>
      <w:proofErr w:type="gramStart"/>
      <w:r>
        <w:t>способов реализации потенциальных угроз совершения актов незаконного вмешательства</w:t>
      </w:r>
      <w:proofErr w:type="gramEnd"/>
      <w:r>
        <w:t xml:space="preserve"> в деятельность объекта транспортной инфраструктуры или транспортного средства применительно к модели нарушителя.</w:t>
      </w:r>
    </w:p>
    <w:p w:rsidR="00985156" w:rsidRDefault="00985156">
      <w:pPr>
        <w:pStyle w:val="ConsPlusNormal"/>
        <w:spacing w:before="240"/>
        <w:ind w:firstLine="540"/>
        <w:jc w:val="both"/>
      </w:pPr>
      <w:r>
        <w:t>3.1.4. Определение рекомендаций субъекту транспортной инфраструктуры в отношении мер, которые необходимо дополнительно включить в систему мер по обеспечению транспортной безопасности объекта транспортной инфраструктуры и/или транспортного средства.</w:t>
      </w:r>
    </w:p>
    <w:p w:rsidR="00985156" w:rsidRDefault="00985156">
      <w:pPr>
        <w:pStyle w:val="ConsPlusNormal"/>
        <w:spacing w:before="240"/>
        <w:ind w:firstLine="540"/>
        <w:jc w:val="both"/>
      </w:pPr>
      <w:r>
        <w:t>Результатом определения рекомендаций является описание дополнительных мер, которые необходимо принять субъекту транспортной инфраструктуры на объекте транспортной инфраструктуры и/или транспортном средстве в соответствии с требованиями по обеспечению транспортной безопасности.</w:t>
      </w:r>
    </w:p>
    <w:p w:rsidR="00985156" w:rsidRDefault="00985156">
      <w:pPr>
        <w:pStyle w:val="ConsPlusNormal"/>
        <w:spacing w:before="240"/>
        <w:ind w:firstLine="540"/>
        <w:jc w:val="both"/>
      </w:pPr>
      <w:bookmarkStart w:id="1" w:name="P59"/>
      <w:bookmarkEnd w:id="1"/>
      <w:r>
        <w:t>3.2. В отношении акватории морского порта:</w:t>
      </w:r>
    </w:p>
    <w:p w:rsidR="00985156" w:rsidRDefault="00985156">
      <w:pPr>
        <w:pStyle w:val="ConsPlusNormal"/>
        <w:spacing w:before="240"/>
        <w:ind w:firstLine="540"/>
        <w:jc w:val="both"/>
      </w:pPr>
      <w:r>
        <w:t xml:space="preserve">3.2.1. </w:t>
      </w:r>
      <w:proofErr w:type="gramStart"/>
      <w:r>
        <w:t>Описание границ акватории морского порта (включая места якорных стоянок) в соответствии с установленными Правительством Российской Федерации границами морского порта, в том числе географические особенности расположения акватории морского порта.</w:t>
      </w:r>
      <w:proofErr w:type="gramEnd"/>
    </w:p>
    <w:p w:rsidR="00985156" w:rsidRDefault="00985156">
      <w:pPr>
        <w:pStyle w:val="ConsPlusNormal"/>
        <w:spacing w:before="240"/>
        <w:ind w:firstLine="540"/>
        <w:jc w:val="both"/>
      </w:pPr>
      <w:r>
        <w:t>3.2.2. Описание подходов к морскому порту в соответствии с обязательными постановлениями в морском порту.</w:t>
      </w:r>
    </w:p>
    <w:p w:rsidR="00985156" w:rsidRDefault="00985156">
      <w:pPr>
        <w:pStyle w:val="ConsPlusNormal"/>
        <w:spacing w:before="240"/>
        <w:ind w:firstLine="540"/>
        <w:jc w:val="both"/>
      </w:pPr>
      <w:r>
        <w:t>3.2.3. Описание районов акватории морского порта, запрещенных или ограниченных для судоходства в соответствии с обязательными постановлениями в морском порту, другими нормативными правовыми актами, извещениями мореплавателям.</w:t>
      </w:r>
    </w:p>
    <w:p w:rsidR="00985156" w:rsidRDefault="00985156">
      <w:pPr>
        <w:pStyle w:val="ConsPlusNormal"/>
        <w:spacing w:before="240"/>
        <w:ind w:firstLine="540"/>
        <w:jc w:val="both"/>
      </w:pPr>
      <w:r>
        <w:t>3.2.4. Установление возможности обнаружения и идентификации судов на поверхности воды акватории морского порта с помощью инженерно-технических средств, установленных в морском порту.</w:t>
      </w:r>
    </w:p>
    <w:p w:rsidR="00985156" w:rsidRDefault="00985156">
      <w:pPr>
        <w:pStyle w:val="ConsPlusNormal"/>
        <w:spacing w:before="240"/>
        <w:ind w:firstLine="540"/>
        <w:jc w:val="both"/>
      </w:pPr>
      <w:r>
        <w:t xml:space="preserve">3.2.5. Описание технических возможностей и зон действия инженерно-технических средств (Глобальная морская система связи при бедствии и для обеспечения безопасности (ГМССБ), автоматическая идентификационная система (АИС), средства визуального </w:t>
      </w:r>
      <w:r>
        <w:lastRenderedPageBreak/>
        <w:t>наблюдения, система управления движением судов (СУДС), УКВ радиосвязь), с помощью которых возможны обнаружение и идентификация судов, а также установление радиосвязи с ними.</w:t>
      </w:r>
    </w:p>
    <w:p w:rsidR="00985156" w:rsidRDefault="00985156">
      <w:pPr>
        <w:pStyle w:val="ConsPlusNormal"/>
        <w:spacing w:before="240"/>
        <w:ind w:firstLine="540"/>
        <w:jc w:val="both"/>
      </w:pPr>
      <w:r>
        <w:t>3.2.6. Определение интенсивности судоходства в акватории морского порта.</w:t>
      </w:r>
    </w:p>
    <w:p w:rsidR="00985156" w:rsidRDefault="00985156">
      <w:pPr>
        <w:pStyle w:val="ConsPlusNormal"/>
        <w:spacing w:before="240"/>
        <w:ind w:firstLine="540"/>
        <w:jc w:val="both"/>
      </w:pPr>
      <w:r>
        <w:t xml:space="preserve">3.2.7. </w:t>
      </w:r>
      <w:proofErr w:type="gramStart"/>
      <w:r>
        <w:t xml:space="preserve">Описание погрузочно-разгрузочных операций, осуществляющихся в акватории морского порта в соответствии с </w:t>
      </w:r>
      <w:hyperlink r:id="rId27" w:history="1">
        <w:r>
          <w:rPr>
            <w:color w:val="0000FF"/>
          </w:rPr>
          <w:t>приказом</w:t>
        </w:r>
      </w:hyperlink>
      <w:r>
        <w:t xml:space="preserve"> Министерства транспорта Российской Федерации от 29 апреля 2009 г. N 68 "Об утверждении Правил оказания услуг по организации перегрузки грузов с судна на судно" (зарегистрирован Минюстом России 29 июня 2009 г., регистрационный N 14146) с изменениями, внесенными приказом Министерства транспорта Российской Федерации от 10 мая 2016 г. N</w:t>
      </w:r>
      <w:proofErr w:type="gramEnd"/>
      <w:r>
        <w:t xml:space="preserve"> 122 (</w:t>
      </w:r>
      <w:proofErr w:type="gramStart"/>
      <w:r>
        <w:t>зарегистрирован</w:t>
      </w:r>
      <w:proofErr w:type="gramEnd"/>
      <w:r>
        <w:t xml:space="preserve"> Минюстом России 7 июня 2016 г., регистрационный N 42438).</w:t>
      </w:r>
    </w:p>
    <w:p w:rsidR="00985156" w:rsidRDefault="00985156">
      <w:pPr>
        <w:pStyle w:val="ConsPlusNormal"/>
        <w:spacing w:before="240"/>
        <w:ind w:firstLine="540"/>
        <w:jc w:val="both"/>
      </w:pPr>
      <w:r>
        <w:t xml:space="preserve">3.2.8. </w:t>
      </w:r>
      <w:proofErr w:type="gramStart"/>
      <w:r>
        <w:t xml:space="preserve">Описание системы мер, принятых субъектом транспортной инфраструктуры на акватории морского порта по защите от актов незаконного вмешательства, а также оценка ее соответствия требованиям по обеспечению транспортной безопасности, утвержденным в соответствии с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9 февраля 2007 г. N 16-ФЗ "О транспортной безопасности", и определение границ зоны транспортной безопасности, ее частей, которые определяются в случае проведения оценки уязвимости специализированными организациями</w:t>
      </w:r>
      <w:proofErr w:type="gramEnd"/>
      <w:r>
        <w:t xml:space="preserve"> в области обеспечения транспортной безопасности по согласованию с капитаном морского порта.</w:t>
      </w:r>
    </w:p>
    <w:p w:rsidR="00985156" w:rsidRDefault="00985156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Минтранса России от 18.04.2018 N 155)</w:t>
      </w:r>
    </w:p>
    <w:p w:rsidR="00985156" w:rsidRDefault="00985156">
      <w:pPr>
        <w:pStyle w:val="ConsPlusNormal"/>
        <w:spacing w:before="240"/>
        <w:ind w:firstLine="540"/>
        <w:jc w:val="both"/>
      </w:pPr>
      <w:r>
        <w:t xml:space="preserve">3.2.9. Описание </w:t>
      </w:r>
      <w:proofErr w:type="gramStart"/>
      <w:r>
        <w:t>способов реализации потенциальных угроз совершения актов незаконного вмешательства</w:t>
      </w:r>
      <w:proofErr w:type="gramEnd"/>
      <w:r>
        <w:t xml:space="preserve"> в акватории морского порта.</w:t>
      </w:r>
    </w:p>
    <w:p w:rsidR="00985156" w:rsidRDefault="00985156">
      <w:pPr>
        <w:pStyle w:val="ConsPlusNormal"/>
        <w:spacing w:before="240"/>
        <w:ind w:firstLine="540"/>
        <w:jc w:val="both"/>
      </w:pPr>
      <w:r>
        <w:t>3.2.10. Определение рекомендаций в отношении мер, которые необходимо дополнительно включить в систему мер по обеспечению транспортной безопасности акватории морского порта.</w:t>
      </w:r>
    </w:p>
    <w:p w:rsidR="00985156" w:rsidRDefault="00985156">
      <w:pPr>
        <w:pStyle w:val="ConsPlusNormal"/>
        <w:spacing w:before="240"/>
        <w:ind w:firstLine="540"/>
        <w:jc w:val="both"/>
      </w:pPr>
      <w:r>
        <w:t xml:space="preserve">3.2.11. Результатом оценки уязвимости акватории морского порта являются материалы проведенной работы, предусмотренной </w:t>
      </w:r>
      <w:hyperlink w:anchor="P59" w:history="1">
        <w:r>
          <w:rPr>
            <w:color w:val="0000FF"/>
          </w:rPr>
          <w:t>подпунктом 3.2</w:t>
        </w:r>
      </w:hyperlink>
      <w:r>
        <w:t xml:space="preserve"> настоящего Порядка, и рекомендации:</w:t>
      </w:r>
    </w:p>
    <w:p w:rsidR="00985156" w:rsidRDefault="00985156">
      <w:pPr>
        <w:pStyle w:val="ConsPlusNormal"/>
        <w:spacing w:before="240"/>
        <w:ind w:firstLine="540"/>
        <w:jc w:val="both"/>
      </w:pPr>
      <w:r>
        <w:t>о необходимости дополнения технических или организационных мер в отношении акватории морского порта или ее отдельных частей;</w:t>
      </w:r>
    </w:p>
    <w:p w:rsidR="00985156" w:rsidRDefault="00985156">
      <w:pPr>
        <w:pStyle w:val="ConsPlusNormal"/>
        <w:spacing w:before="240"/>
        <w:ind w:firstLine="540"/>
        <w:jc w:val="both"/>
      </w:pPr>
      <w:r>
        <w:t>и/или о достаточности технических и организационных мер обеспечения транспортной безопасности для акватории морского порта или ее отдельных частей;</w:t>
      </w:r>
    </w:p>
    <w:p w:rsidR="00985156" w:rsidRDefault="00985156">
      <w:pPr>
        <w:pStyle w:val="ConsPlusNormal"/>
        <w:spacing w:before="240"/>
        <w:ind w:firstLine="540"/>
        <w:jc w:val="both"/>
      </w:pPr>
      <w:r>
        <w:t xml:space="preserve">и/или об отсутствии </w:t>
      </w:r>
      <w:proofErr w:type="gramStart"/>
      <w:r>
        <w:t>необходимости принятия дополнительных мер обеспечения транспортной безопасности</w:t>
      </w:r>
      <w:proofErr w:type="gramEnd"/>
      <w:r>
        <w:t xml:space="preserve"> в отношении акватории морского порта или ее отдельных частей.</w:t>
      </w:r>
    </w:p>
    <w:p w:rsidR="00985156" w:rsidRDefault="00985156">
      <w:pPr>
        <w:pStyle w:val="ConsPlusNormal"/>
        <w:jc w:val="both"/>
      </w:pPr>
      <w:r>
        <w:t xml:space="preserve">(п. 3 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Минтранса России от 18.08.2016 N 245)</w:t>
      </w:r>
    </w:p>
    <w:p w:rsidR="00985156" w:rsidRDefault="00985156">
      <w:pPr>
        <w:pStyle w:val="ConsPlusNormal"/>
        <w:spacing w:before="240"/>
        <w:ind w:firstLine="540"/>
        <w:jc w:val="both"/>
      </w:pPr>
      <w:r>
        <w:t>4. Оценка уязвимости объектов транспортной инфраструктуры проводится специализированными организациями, а транспортных средств - специализированными организациями либо субъектами транспортной инфраструктуры.</w:t>
      </w:r>
    </w:p>
    <w:p w:rsidR="00985156" w:rsidRDefault="00985156">
      <w:pPr>
        <w:pStyle w:val="ConsPlusNormal"/>
        <w:spacing w:before="240"/>
        <w:ind w:firstLine="540"/>
        <w:jc w:val="both"/>
      </w:pPr>
      <w:proofErr w:type="gramStart"/>
      <w:r>
        <w:t xml:space="preserve">Оценка уязвимости объектов транспортной инфраструктуры и (или) транспортных средств проводится в соответствии с </w:t>
      </w:r>
      <w:hyperlink r:id="rId31" w:history="1">
        <w:r>
          <w:rPr>
            <w:color w:val="0000FF"/>
          </w:rPr>
          <w:t>Перечнем</w:t>
        </w:r>
      </w:hyperlink>
      <w:r>
        <w:t xml:space="preserve"> потенциальных угроз совершения актов незаконного вмешательства в деятельность объектов транспортной инфраструктуры и транспортных средств, утвержденным приказом Минтранса России N 52, ФСБ России N </w:t>
      </w:r>
      <w:r>
        <w:lastRenderedPageBreak/>
        <w:t>112, МВД России N 134 от 5 марта 2010 г. (зарегистрирован Минюстом России 2 апреля 2010 г., регистрационный N 16782), а также с</w:t>
      </w:r>
      <w:proofErr w:type="gramEnd"/>
      <w:r>
        <w:t xml:space="preserve"> применением модели нарушителя.</w:t>
      </w:r>
    </w:p>
    <w:p w:rsidR="00985156" w:rsidRDefault="00985156">
      <w:pPr>
        <w:pStyle w:val="ConsPlusNormal"/>
        <w:jc w:val="both"/>
      </w:pPr>
      <w:r>
        <w:t xml:space="preserve">(п. 4 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Минтранса России от 18.04.2018 N 155)</w:t>
      </w:r>
    </w:p>
    <w:p w:rsidR="00985156" w:rsidRDefault="00985156">
      <w:pPr>
        <w:pStyle w:val="ConsPlusNormal"/>
        <w:spacing w:before="240"/>
        <w:ind w:firstLine="540"/>
        <w:jc w:val="both"/>
      </w:pPr>
      <w:r>
        <w:t>5. Срок проведения оценки уязвимости не должен превышать одного месяца.</w:t>
      </w:r>
    </w:p>
    <w:p w:rsidR="00985156" w:rsidRDefault="00985156">
      <w:pPr>
        <w:pStyle w:val="ConsPlusNormal"/>
        <w:spacing w:before="240"/>
        <w:ind w:firstLine="540"/>
        <w:jc w:val="both"/>
      </w:pPr>
      <w:r>
        <w:t>6. Результаты проведенной оценки уязвимости оформляются в виде документа с графическими планами-схемами в трех экземплярах (первый и второй экземпляры на бумажном носителе, третий - на электронном носителе) и направляются в компетентный орган в области обеспечения транспортной безопасности (далее - компетентный орган) для рассмотрения и принятия решения об утверждении.</w:t>
      </w:r>
    </w:p>
    <w:p w:rsidR="00985156" w:rsidRDefault="00985156">
      <w:pPr>
        <w:pStyle w:val="ConsPlusNormal"/>
        <w:spacing w:before="240"/>
        <w:ind w:firstLine="540"/>
        <w:jc w:val="both"/>
      </w:pPr>
      <w:r>
        <w:t>Допускается представление результатов проведенной оценки уязвимости, оформленной в двух экземплярах (первый экземпляр представляется на бумажном носителе, второй экземпляр, подписанный усиленной квалифицированной электронной подписью, - на электронном носителе).</w:t>
      </w:r>
    </w:p>
    <w:p w:rsidR="00985156" w:rsidRDefault="00985156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33" w:history="1">
        <w:r>
          <w:rPr>
            <w:color w:val="0000FF"/>
          </w:rPr>
          <w:t>Приказом</w:t>
        </w:r>
      </w:hyperlink>
      <w:r>
        <w:t xml:space="preserve"> Минтранса России от 26.02.2019 N 58)</w:t>
      </w:r>
    </w:p>
    <w:p w:rsidR="00985156" w:rsidRDefault="00985156">
      <w:pPr>
        <w:pStyle w:val="ConsPlusNormal"/>
        <w:jc w:val="both"/>
      </w:pPr>
      <w:r>
        <w:t xml:space="preserve">(п. 6 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Минтранса России от 18.04.2018 N 155)</w:t>
      </w:r>
    </w:p>
    <w:p w:rsidR="00985156" w:rsidRDefault="00985156">
      <w:pPr>
        <w:pStyle w:val="ConsPlusNormal"/>
        <w:spacing w:before="240"/>
        <w:ind w:firstLine="540"/>
        <w:jc w:val="both"/>
      </w:pPr>
      <w:r>
        <w:t>7. При оценке уязвимости группы идентичных по своим конструктивным, техническим, технологическим характеристикам транспортных средств, находящихся в собственности одного юридического (физического) лица или использующихся им на ином законном основании, по его ходатайству результаты оценки уязвимости одного транспортного средства распространяются на всю группу.</w:t>
      </w:r>
    </w:p>
    <w:p w:rsidR="00985156" w:rsidRDefault="00985156">
      <w:pPr>
        <w:pStyle w:val="ConsPlusNormal"/>
        <w:spacing w:before="240"/>
        <w:ind w:firstLine="540"/>
        <w:jc w:val="both"/>
      </w:pPr>
      <w:r>
        <w:t>Перечень транспортных средств, входящих в указанную группу, представляется субъектом транспортной инфраструктуры в компетентный орган перед проведением оценки уязвимости транспортного средства.</w:t>
      </w:r>
    </w:p>
    <w:p w:rsidR="00985156" w:rsidRDefault="00985156">
      <w:pPr>
        <w:pStyle w:val="ConsPlusNormal"/>
        <w:spacing w:before="240"/>
        <w:ind w:firstLine="540"/>
        <w:jc w:val="both"/>
      </w:pPr>
      <w:r>
        <w:t>8. Решение об утверждении результатов проведенной оценки уязвимости либо об отказе в их утверждении принимается компетентным органом в срок, не превышающий 30 дней.</w:t>
      </w:r>
    </w:p>
    <w:p w:rsidR="00985156" w:rsidRDefault="00985156">
      <w:pPr>
        <w:pStyle w:val="ConsPlusNormal"/>
        <w:spacing w:before="240"/>
        <w:ind w:firstLine="540"/>
        <w:jc w:val="both"/>
      </w:pPr>
      <w:r>
        <w:t>8.1. Решение оформляется в виде заключения и утверждается руководителем компетентного органа (либо уполномоченным им лицом).</w:t>
      </w:r>
    </w:p>
    <w:p w:rsidR="00985156" w:rsidRDefault="00985156">
      <w:pPr>
        <w:pStyle w:val="ConsPlusNormal"/>
        <w:spacing w:before="240"/>
        <w:ind w:firstLine="540"/>
        <w:jc w:val="both"/>
      </w:pPr>
      <w:r>
        <w:t xml:space="preserve">8.2. </w:t>
      </w:r>
      <w:proofErr w:type="gramStart"/>
      <w:r>
        <w:t>Первый экземпляр результатов проведенной оценки уязвимости, утвержденный руководителем компетентного органа (либо уполномоченным им лицом) и заверенный гербовой печатью, направляется (вручается) специализированным организациям либо субъектам транспортной инфраструктуры в случае проведения оценки уязвимости транспортных средств субъектами транспортной инфраструктуры, второй и третий экземпляры остаются в компетентном органе, из которых формируются документальная и электронная базы.</w:t>
      </w:r>
      <w:proofErr w:type="gramEnd"/>
    </w:p>
    <w:p w:rsidR="00985156" w:rsidRDefault="0098515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Минтранса России от 18.04.2018 N 155)</w:t>
      </w:r>
    </w:p>
    <w:p w:rsidR="00985156" w:rsidRDefault="00985156">
      <w:pPr>
        <w:pStyle w:val="ConsPlusNormal"/>
        <w:spacing w:before="240"/>
        <w:ind w:firstLine="540"/>
        <w:jc w:val="both"/>
      </w:pPr>
      <w:proofErr w:type="gramStart"/>
      <w:r>
        <w:t>При представлении результатов проведенной оценки уязвимости в двух экземплярах первый экземпляр результатов проведенной оценки уязвимости, утвержденный руководителем компетентного органа (либо уполномоченным им лицом) и заверенный гербовой печатью, направляется (вручается) специализированным организациям либо субъектам транспортной инфраструктуры в случае проведения оценки уязвимости транспортных средств субъектами транспортной инфраструктуры, второй экземпляр, из которого формируется электронная база, остается в компетентном органе.</w:t>
      </w:r>
      <w:proofErr w:type="gramEnd"/>
    </w:p>
    <w:p w:rsidR="00985156" w:rsidRDefault="00985156">
      <w:pPr>
        <w:pStyle w:val="ConsPlusNormal"/>
        <w:jc w:val="both"/>
      </w:pPr>
      <w:r>
        <w:t xml:space="preserve">(абзац введен </w:t>
      </w:r>
      <w:hyperlink r:id="rId36" w:history="1">
        <w:r>
          <w:rPr>
            <w:color w:val="0000FF"/>
          </w:rPr>
          <w:t>Приказом</w:t>
        </w:r>
      </w:hyperlink>
      <w:r>
        <w:t xml:space="preserve"> Минтранса России от 26.02.2019 N 58)</w:t>
      </w:r>
    </w:p>
    <w:p w:rsidR="00985156" w:rsidRDefault="00985156">
      <w:pPr>
        <w:pStyle w:val="ConsPlusNormal"/>
        <w:spacing w:before="240"/>
        <w:ind w:firstLine="540"/>
        <w:jc w:val="both"/>
      </w:pPr>
      <w:r>
        <w:lastRenderedPageBreak/>
        <w:t>8.3. Решение об отказе в утверждении результатов проведенной оценки уязвимости направляется (вручается) специализированным организациям либо субъектам транспортной инфраструктуры в случае проведения оценки уязвимости транспортных средств субъектами транспортной инфраструктуры в письменной форме с указанием причин отказа вместе со вторым экземпляром.</w:t>
      </w:r>
    </w:p>
    <w:p w:rsidR="00985156" w:rsidRDefault="0098515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7" w:history="1">
        <w:r>
          <w:rPr>
            <w:color w:val="0000FF"/>
          </w:rPr>
          <w:t>Приказа</w:t>
        </w:r>
      </w:hyperlink>
      <w:r>
        <w:t xml:space="preserve"> Минтранса России от 18.04.2018 N 155)</w:t>
      </w:r>
    </w:p>
    <w:p w:rsidR="00985156" w:rsidRDefault="00985156">
      <w:pPr>
        <w:pStyle w:val="ConsPlusNormal"/>
        <w:spacing w:before="240"/>
        <w:ind w:firstLine="540"/>
        <w:jc w:val="both"/>
      </w:pPr>
      <w:r>
        <w:t>При представлении результатов проведенной оценки уязвимости в двух экземплярах решение об отказе в утверждении результатов проведенной оценки уязвимости направляется (вручается) специализированным организациям либо субъектам транспортной инфраструктуры в случае проведения оценки уязвимости транспортных средств субъектами транспортной инфраструктуры в письменной форме с указанием причин отказа вместе с первым экземпляром.</w:t>
      </w:r>
    </w:p>
    <w:p w:rsidR="00985156" w:rsidRDefault="00985156">
      <w:pPr>
        <w:pStyle w:val="ConsPlusNormal"/>
        <w:jc w:val="both"/>
      </w:pPr>
      <w:r>
        <w:t xml:space="preserve">(абзац введен </w:t>
      </w:r>
      <w:hyperlink r:id="rId38" w:history="1">
        <w:r>
          <w:rPr>
            <w:color w:val="0000FF"/>
          </w:rPr>
          <w:t>Приказом</w:t>
        </w:r>
      </w:hyperlink>
      <w:r>
        <w:t xml:space="preserve"> Минтранса России от 26.02.2019 N 58)</w:t>
      </w:r>
    </w:p>
    <w:p w:rsidR="00985156" w:rsidRDefault="00985156">
      <w:pPr>
        <w:pStyle w:val="ConsPlusNormal"/>
        <w:spacing w:before="240"/>
        <w:ind w:firstLine="540"/>
        <w:jc w:val="both"/>
      </w:pPr>
      <w:r>
        <w:t xml:space="preserve">9. В случаях, определенных требованиями по обеспечению транспортной безопасности для объектов транспортной инфраструктуры и транспортных средств по видам транспорта &lt;1&gt;, утвержденными в соответствии с </w:t>
      </w:r>
      <w:hyperlink r:id="rId39" w:history="1">
        <w:r>
          <w:rPr>
            <w:color w:val="0000FF"/>
          </w:rPr>
          <w:t>частью 1 статьи 8</w:t>
        </w:r>
      </w:hyperlink>
      <w:r>
        <w:t xml:space="preserve"> Федерального закона от 9 февраля 2007 г. N 16-ФЗ "О транспортной безопасности", в установленные данными требованиями сроки проводится дополнительная оценка уязвимости.</w:t>
      </w:r>
    </w:p>
    <w:p w:rsidR="00985156" w:rsidRDefault="00985156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985156" w:rsidRDefault="00985156">
      <w:pPr>
        <w:pStyle w:val="ConsPlusNormal"/>
        <w:spacing w:before="240"/>
        <w:ind w:firstLine="540"/>
        <w:jc w:val="both"/>
      </w:pPr>
      <w:proofErr w:type="gramStart"/>
      <w:r>
        <w:t xml:space="preserve">&lt;1&gt;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июля 2016 г. N 678 "О требованиях по обеспечению транспортной безопасности, в том числе требованиях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 транспортных средств морского и речного транспорта" (Собрание законодательства Российской Федерации, 2016, N 31, ст. 5012);</w:t>
      </w:r>
      <w:proofErr w:type="gramEnd"/>
    </w:p>
    <w:p w:rsidR="00985156" w:rsidRDefault="00985156">
      <w:pPr>
        <w:pStyle w:val="ConsPlusNormal"/>
        <w:spacing w:before="240"/>
        <w:ind w:firstLine="540"/>
        <w:jc w:val="both"/>
      </w:pPr>
      <w:hyperlink r:id="rId41" w:history="1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сентября 2016 г. N 924 "Об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дорожного хозяйства,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</w:t>
      </w:r>
      <w:proofErr w:type="gramEnd"/>
      <w:r>
        <w:t xml:space="preserve"> </w:t>
      </w:r>
      <w:proofErr w:type="gramStart"/>
      <w:r>
        <w:t>инфраструктуры и транспортных средств автомобильного и городского наземного электрического транспорта, и внесение изменений в положение о лицензировании перевозок пассажиров автомобильным транспортом, оборудованным для перевозок более 8 человек (за исключением случая, если указанная деятельность осуществляется по заказам либо для собственных нужд юридического лица или индивидуального предпринимателя)" (Собрание законодательства Российской Федерации, 2016, N 39, ст. 5648);</w:t>
      </w:r>
      <w:proofErr w:type="gramEnd"/>
    </w:p>
    <w:p w:rsidR="00985156" w:rsidRDefault="00985156">
      <w:pPr>
        <w:pStyle w:val="ConsPlusNormal"/>
        <w:spacing w:before="240"/>
        <w:ind w:firstLine="540"/>
        <w:jc w:val="both"/>
      </w:pPr>
      <w:hyperlink r:id="rId4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апреля 2017 г. N 410 "Об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метрополитенов" (Собрание законодательства Российской Федерации, 2017, N 15, ст. 2236);</w:t>
      </w:r>
    </w:p>
    <w:p w:rsidR="00985156" w:rsidRDefault="00985156">
      <w:pPr>
        <w:pStyle w:val="ConsPlusNormal"/>
        <w:spacing w:before="240"/>
        <w:ind w:firstLine="540"/>
        <w:jc w:val="both"/>
      </w:pPr>
      <w:hyperlink r:id="rId4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апреля 2017 г. N 495 "Об утверждении требований по обеспечению транспортной безопасности, в том числе </w:t>
      </w:r>
      <w:r>
        <w:lastRenderedPageBreak/>
        <w:t>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 транспортных средств железнодорожного транспорта" (Собрание законодательства Российской Федерации, 2017, N 19, ст. 2835);</w:t>
      </w:r>
    </w:p>
    <w:p w:rsidR="00985156" w:rsidRDefault="00985156">
      <w:pPr>
        <w:pStyle w:val="ConsPlusNormal"/>
        <w:spacing w:before="240"/>
        <w:ind w:firstLine="540"/>
        <w:jc w:val="both"/>
      </w:pPr>
      <w:hyperlink r:id="rId4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июля 2018 г. N 886 "Об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 транспортных средств воздушного транспорта" (Собрание законодательства Российской Федерации, 2018, N 32, ст. 5345).</w:t>
      </w:r>
    </w:p>
    <w:p w:rsidR="00985156" w:rsidRDefault="00985156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Приказа</w:t>
        </w:r>
      </w:hyperlink>
      <w:r>
        <w:t xml:space="preserve"> Минтранса России от 26.02.2019 N 58)</w:t>
      </w:r>
    </w:p>
    <w:p w:rsidR="00985156" w:rsidRDefault="00985156">
      <w:pPr>
        <w:pStyle w:val="ConsPlusNormal"/>
        <w:ind w:firstLine="540"/>
        <w:jc w:val="both"/>
      </w:pPr>
    </w:p>
    <w:p w:rsidR="00985156" w:rsidRDefault="00985156">
      <w:pPr>
        <w:pStyle w:val="ConsPlusNormal"/>
        <w:ind w:firstLine="540"/>
        <w:jc w:val="both"/>
      </w:pPr>
      <w:proofErr w:type="gramStart"/>
      <w:r>
        <w:t>При изменении конструктивных, технических и технологических характеристик объекта транспортной инфраструктуры или транспортного средства, и (или) потенциальных угроз совершения актов незаконного вмешательства в деятельность объектов транспортной инфраструктуры и транспортных средств, требований по обеспечению транспортной безопасности объектов транспортной инфраструктуры и транспортных средств, в трехмесячный срок проводится дополнительная оценка уязвимости в части, касающейся произошедших изменений.</w:t>
      </w:r>
      <w:proofErr w:type="gramEnd"/>
    </w:p>
    <w:p w:rsidR="00985156" w:rsidRDefault="00985156">
      <w:pPr>
        <w:pStyle w:val="ConsPlusNormal"/>
        <w:spacing w:before="240"/>
        <w:ind w:firstLine="540"/>
        <w:jc w:val="both"/>
      </w:pPr>
      <w:r>
        <w:t>Для акватории морского порта дополнительная оценка уязвимости проводится в срок, указанный в абзаце втором настоящего пункта, при изменении конструктивных, технических и технологических характеристик и (или) потенциальных угроз совершения актов незаконного вмешательства, требований по обеспечению транспортной безопасности, а также при изменении границ акватории морского порта в части, касающейся произошедших изменений.</w:t>
      </w:r>
    </w:p>
    <w:p w:rsidR="00985156" w:rsidRDefault="00985156">
      <w:pPr>
        <w:pStyle w:val="ConsPlusNormal"/>
        <w:jc w:val="both"/>
      </w:pPr>
      <w:r>
        <w:t xml:space="preserve">(п. 9 в ред. </w:t>
      </w:r>
      <w:hyperlink r:id="rId46" w:history="1">
        <w:r>
          <w:rPr>
            <w:color w:val="0000FF"/>
          </w:rPr>
          <w:t>Приказа</w:t>
        </w:r>
      </w:hyperlink>
      <w:r>
        <w:t xml:space="preserve"> Минтранса России от 18.04.2018 N 155)</w:t>
      </w:r>
    </w:p>
    <w:p w:rsidR="00985156" w:rsidRDefault="00985156">
      <w:pPr>
        <w:pStyle w:val="ConsPlusNormal"/>
        <w:ind w:firstLine="540"/>
        <w:jc w:val="both"/>
      </w:pPr>
    </w:p>
    <w:p w:rsidR="00985156" w:rsidRDefault="00985156">
      <w:pPr>
        <w:pStyle w:val="ConsPlusNormal"/>
        <w:ind w:firstLine="540"/>
        <w:jc w:val="both"/>
      </w:pPr>
    </w:p>
    <w:p w:rsidR="00985156" w:rsidRDefault="009851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422D" w:rsidRDefault="0018422D">
      <w:bookmarkStart w:id="2" w:name="_GoBack"/>
      <w:bookmarkEnd w:id="2"/>
    </w:p>
    <w:sectPr w:rsidR="0018422D" w:rsidSect="00834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156"/>
    <w:rsid w:val="0018422D"/>
    <w:rsid w:val="00985156"/>
    <w:rsid w:val="00CD5F34"/>
    <w:rsid w:val="00F1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34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D5F34"/>
    <w:pPr>
      <w:spacing w:after="75"/>
      <w:outlineLvl w:val="0"/>
    </w:pPr>
    <w:rPr>
      <w:kern w:val="36"/>
      <w:sz w:val="40"/>
      <w:szCs w:val="40"/>
      <w:lang w:eastAsia="en-US"/>
    </w:rPr>
  </w:style>
  <w:style w:type="paragraph" w:styleId="2">
    <w:name w:val="heading 2"/>
    <w:basedOn w:val="a"/>
    <w:next w:val="a"/>
    <w:link w:val="20"/>
    <w:qFormat/>
    <w:rsid w:val="00CD5F34"/>
    <w:pPr>
      <w:keepNext/>
      <w:widowControl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3">
    <w:name w:val="heading 3"/>
    <w:basedOn w:val="a"/>
    <w:link w:val="30"/>
    <w:uiPriority w:val="9"/>
    <w:qFormat/>
    <w:rsid w:val="00CD5F34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paragraph" w:styleId="5">
    <w:name w:val="heading 5"/>
    <w:basedOn w:val="a"/>
    <w:link w:val="50"/>
    <w:uiPriority w:val="9"/>
    <w:qFormat/>
    <w:rsid w:val="00CD5F34"/>
    <w:pPr>
      <w:spacing w:before="150" w:after="150"/>
      <w:outlineLvl w:val="4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D5F34"/>
    <w:rPr>
      <w:kern w:val="36"/>
      <w:sz w:val="40"/>
      <w:szCs w:val="40"/>
    </w:rPr>
  </w:style>
  <w:style w:type="character" w:customStyle="1" w:styleId="20">
    <w:name w:val="Заголовок 2 Знак"/>
    <w:basedOn w:val="a0"/>
    <w:link w:val="2"/>
    <w:rsid w:val="00CD5F34"/>
    <w:rPr>
      <w:sz w:val="28"/>
      <w:lang w:eastAsia="ru-RU"/>
    </w:rPr>
  </w:style>
  <w:style w:type="character" w:customStyle="1" w:styleId="30">
    <w:name w:val="Заголовок 3 Знак"/>
    <w:link w:val="3"/>
    <w:uiPriority w:val="9"/>
    <w:rsid w:val="00CD5F34"/>
    <w:rPr>
      <w:b/>
      <w:bCs/>
      <w:sz w:val="27"/>
      <w:szCs w:val="27"/>
    </w:rPr>
  </w:style>
  <w:style w:type="character" w:customStyle="1" w:styleId="50">
    <w:name w:val="Заголовок 5 Знак"/>
    <w:link w:val="5"/>
    <w:uiPriority w:val="9"/>
    <w:rsid w:val="00CD5F34"/>
    <w:rPr>
      <w:b/>
      <w:bCs/>
      <w:sz w:val="32"/>
      <w:szCs w:val="32"/>
    </w:rPr>
  </w:style>
  <w:style w:type="character" w:styleId="a3">
    <w:name w:val="Emphasis"/>
    <w:uiPriority w:val="20"/>
    <w:qFormat/>
    <w:rsid w:val="00CD5F34"/>
    <w:rPr>
      <w:i/>
      <w:iCs/>
      <w:vanish/>
      <w:webHidden w:val="0"/>
      <w:specVanish w:val="0"/>
    </w:rPr>
  </w:style>
  <w:style w:type="paragraph" w:styleId="a4">
    <w:name w:val="List Paragraph"/>
    <w:basedOn w:val="a"/>
    <w:qFormat/>
    <w:rsid w:val="00CD5F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85156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985156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985156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34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D5F34"/>
    <w:pPr>
      <w:spacing w:after="75"/>
      <w:outlineLvl w:val="0"/>
    </w:pPr>
    <w:rPr>
      <w:kern w:val="36"/>
      <w:sz w:val="40"/>
      <w:szCs w:val="40"/>
      <w:lang w:eastAsia="en-US"/>
    </w:rPr>
  </w:style>
  <w:style w:type="paragraph" w:styleId="2">
    <w:name w:val="heading 2"/>
    <w:basedOn w:val="a"/>
    <w:next w:val="a"/>
    <w:link w:val="20"/>
    <w:qFormat/>
    <w:rsid w:val="00CD5F34"/>
    <w:pPr>
      <w:keepNext/>
      <w:widowControl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3">
    <w:name w:val="heading 3"/>
    <w:basedOn w:val="a"/>
    <w:link w:val="30"/>
    <w:uiPriority w:val="9"/>
    <w:qFormat/>
    <w:rsid w:val="00CD5F34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paragraph" w:styleId="5">
    <w:name w:val="heading 5"/>
    <w:basedOn w:val="a"/>
    <w:link w:val="50"/>
    <w:uiPriority w:val="9"/>
    <w:qFormat/>
    <w:rsid w:val="00CD5F34"/>
    <w:pPr>
      <w:spacing w:before="150" w:after="150"/>
      <w:outlineLvl w:val="4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D5F34"/>
    <w:rPr>
      <w:kern w:val="36"/>
      <w:sz w:val="40"/>
      <w:szCs w:val="40"/>
    </w:rPr>
  </w:style>
  <w:style w:type="character" w:customStyle="1" w:styleId="20">
    <w:name w:val="Заголовок 2 Знак"/>
    <w:basedOn w:val="a0"/>
    <w:link w:val="2"/>
    <w:rsid w:val="00CD5F34"/>
    <w:rPr>
      <w:sz w:val="28"/>
      <w:lang w:eastAsia="ru-RU"/>
    </w:rPr>
  </w:style>
  <w:style w:type="character" w:customStyle="1" w:styleId="30">
    <w:name w:val="Заголовок 3 Знак"/>
    <w:link w:val="3"/>
    <w:uiPriority w:val="9"/>
    <w:rsid w:val="00CD5F34"/>
    <w:rPr>
      <w:b/>
      <w:bCs/>
      <w:sz w:val="27"/>
      <w:szCs w:val="27"/>
    </w:rPr>
  </w:style>
  <w:style w:type="character" w:customStyle="1" w:styleId="50">
    <w:name w:val="Заголовок 5 Знак"/>
    <w:link w:val="5"/>
    <w:uiPriority w:val="9"/>
    <w:rsid w:val="00CD5F34"/>
    <w:rPr>
      <w:b/>
      <w:bCs/>
      <w:sz w:val="32"/>
      <w:szCs w:val="32"/>
    </w:rPr>
  </w:style>
  <w:style w:type="character" w:styleId="a3">
    <w:name w:val="Emphasis"/>
    <w:uiPriority w:val="20"/>
    <w:qFormat/>
    <w:rsid w:val="00CD5F34"/>
    <w:rPr>
      <w:i/>
      <w:iCs/>
      <w:vanish/>
      <w:webHidden w:val="0"/>
      <w:specVanish w:val="0"/>
    </w:rPr>
  </w:style>
  <w:style w:type="paragraph" w:styleId="a4">
    <w:name w:val="List Paragraph"/>
    <w:basedOn w:val="a"/>
    <w:qFormat/>
    <w:rsid w:val="00CD5F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85156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985156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985156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20238211021710419DCC82D3B422A29B49BD7EE2AC76AC4A2217391C67356AF35AE3C3DCBFAE92314967C779E5CA0682BA1EE96EFCABACC2S3H" TargetMode="External"/><Relationship Id="rId13" Type="http://schemas.openxmlformats.org/officeDocument/2006/relationships/hyperlink" Target="consultantplus://offline/ref=1C20238211021710419DCC82D3B422A29B49BD7EE2AC76AC4A2217391C67356AF35AE3C3DCBFAE92314967C779E5CA0682BA1EE96EFCABACC2S3H" TargetMode="External"/><Relationship Id="rId18" Type="http://schemas.openxmlformats.org/officeDocument/2006/relationships/hyperlink" Target="consultantplus://offline/ref=1C20238211021710419DCC82D3B422A29A49B975E9AD76AC4A2217391C67356AF35AE3C3DCBFAE93344967C779E5CA0682BA1EE96EFCABACC2S3H" TargetMode="External"/><Relationship Id="rId26" Type="http://schemas.openxmlformats.org/officeDocument/2006/relationships/hyperlink" Target="consultantplus://offline/ref=1C20238211021710419DCC82D3B422A29B49BD7EE2AC76AC4A2217391C67356AF35AE3C3DCBFAE93374967C779E5CA0682BA1EE96EFCABACC2S3H" TargetMode="External"/><Relationship Id="rId39" Type="http://schemas.openxmlformats.org/officeDocument/2006/relationships/hyperlink" Target="consultantplus://offline/ref=1C20238211021710419DCC82D3B422A29B49BF7EE9A076AC4A2217391C67356AF35AE3C6D8B4FAC373173E973EAEC7019FA61EEEC7S9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C20238211021710419DC590D1B422A29A48BE71E5A32BA6427B1B3B1B686A6FF44BE3C3DFA1AE9429403397C3S4H" TargetMode="External"/><Relationship Id="rId34" Type="http://schemas.openxmlformats.org/officeDocument/2006/relationships/hyperlink" Target="consultantplus://offline/ref=1C20238211021710419DCC82D3B422A29B49BD7EE2AC76AC4A2217391C67356AF35AE3C3DCBFAE93324967C779E5CA0682BA1EE96EFCABACC2S3H" TargetMode="External"/><Relationship Id="rId42" Type="http://schemas.openxmlformats.org/officeDocument/2006/relationships/hyperlink" Target="consultantplus://offline/ref=1C20238211021710419DCC82D3B422A29A48BB7FE7A876AC4A2217391C67356AE15ABBCFDDBCB092315C31963CCBS9H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1C20238211021710419DCC82D3B422A29A49B975E9AD76AC4A2217391C67356AF35AE3C3DCBFAE923F4967C779E5CA0682BA1EE96EFCABACC2S3H" TargetMode="External"/><Relationship Id="rId12" Type="http://schemas.openxmlformats.org/officeDocument/2006/relationships/hyperlink" Target="consultantplus://offline/ref=1C20238211021710419DCC82D3B422A29A49B975E9AD76AC4A2217391C67356AF35AE3C3DCBFAE923F4967C779E5CA0682BA1EE96EFCABACC2S3H" TargetMode="External"/><Relationship Id="rId17" Type="http://schemas.openxmlformats.org/officeDocument/2006/relationships/hyperlink" Target="consultantplus://offline/ref=1C20238211021710419DCC82D3B422A29A49B975E9AD76AC4A2217391C67356AF35AE3C3DCBFAE93354967C779E5CA0682BA1EE96EFCABACC2S3H" TargetMode="External"/><Relationship Id="rId25" Type="http://schemas.openxmlformats.org/officeDocument/2006/relationships/hyperlink" Target="consultantplus://offline/ref=1C20238211021710419DCC82D3B422A29B49BF7EE9A076AC4A2217391C67356AF35AE3C3DCBFAF96314967C779E5CA0682BA1EE96EFCABACC2S3H" TargetMode="External"/><Relationship Id="rId33" Type="http://schemas.openxmlformats.org/officeDocument/2006/relationships/hyperlink" Target="consultantplus://offline/ref=1C20238211021710419DCC82D3B422A29B4BBE75E1AA76AC4A2217391C67356AF35AE3C3DCBFAE93314967C779E5CA0682BA1EE96EFCABACC2S3H" TargetMode="External"/><Relationship Id="rId38" Type="http://schemas.openxmlformats.org/officeDocument/2006/relationships/hyperlink" Target="consultantplus://offline/ref=1C20238211021710419DCC82D3B422A29B4BBE75E1AA76AC4A2217391C67356AF35AE3C3DCBFAE90374967C779E5CA0682BA1EE96EFCABACC2S3H" TargetMode="External"/><Relationship Id="rId46" Type="http://schemas.openxmlformats.org/officeDocument/2006/relationships/hyperlink" Target="consultantplus://offline/ref=1C20238211021710419DCC82D3B422A29B49BD7EE2AC76AC4A2217391C67356AF35AE3C3DCBFAE933F4967C779E5CA0682BA1EE96EFCABACC2S3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C20238211021710419DCC82D3B422A29B49BF7EE9A076AC4A2217391C67356AF35AE3C3DCBFAF963E4967C779E5CA0682BA1EE96EFCABACC2S3H" TargetMode="External"/><Relationship Id="rId20" Type="http://schemas.openxmlformats.org/officeDocument/2006/relationships/hyperlink" Target="consultantplus://offline/ref=1C20238211021710419DC98DD0B422A2994CB770E1A32BA6427B1B3B1B686A6FF44BE3C3DFA1AE9429403397C3S4H" TargetMode="External"/><Relationship Id="rId29" Type="http://schemas.openxmlformats.org/officeDocument/2006/relationships/hyperlink" Target="consultantplus://offline/ref=1C20238211021710419DCC82D3B422A29B49BD7EE2AC76AC4A2217391C67356AF35AE3C3DCBFAE93364967C779E5CA0682BA1EE96EFCABACC2S3H" TargetMode="External"/><Relationship Id="rId41" Type="http://schemas.openxmlformats.org/officeDocument/2006/relationships/hyperlink" Target="consultantplus://offline/ref=1C20238211021710419DCC82D3B422A29B48B675E9AB76AC4A2217391C67356AE15ABBCFDDBCB092315C31963CCBS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C20238211021710419DCC82D3B422A29948B770E5AE76AC4A2217391C67356AF35AE3C3DCBFAE92314967C779E5CA0682BA1EE96EFCABACC2S3H" TargetMode="External"/><Relationship Id="rId11" Type="http://schemas.openxmlformats.org/officeDocument/2006/relationships/hyperlink" Target="consultantplus://offline/ref=1C20238211021710419DCC82D3B422A29948B770E5AE76AC4A2217391C67356AF35AE3C3DCBFAE92304967C779E5CA0682BA1EE96EFCABACC2S3H" TargetMode="External"/><Relationship Id="rId24" Type="http://schemas.openxmlformats.org/officeDocument/2006/relationships/hyperlink" Target="consultantplus://offline/ref=1C20238211021710419DCC82D3B422A29A49B975E9AD76AC4A2217391C67356AF35AE3C3DCBFAE93304967C779E5CA0682BA1EE96EFCABACC2S3H" TargetMode="External"/><Relationship Id="rId32" Type="http://schemas.openxmlformats.org/officeDocument/2006/relationships/hyperlink" Target="consultantplus://offline/ref=1C20238211021710419DCC82D3B422A29B49BD7EE2AC76AC4A2217391C67356AF35AE3C3DCBFAE93354967C779E5CA0682BA1EE96EFCABACC2S3H" TargetMode="External"/><Relationship Id="rId37" Type="http://schemas.openxmlformats.org/officeDocument/2006/relationships/hyperlink" Target="consultantplus://offline/ref=1C20238211021710419DCC82D3B422A29B49BD7EE2AC76AC4A2217391C67356AF35AE3C3DCBFAE93304967C779E5CA0682BA1EE96EFCABACC2S3H" TargetMode="External"/><Relationship Id="rId40" Type="http://schemas.openxmlformats.org/officeDocument/2006/relationships/hyperlink" Target="consultantplus://offline/ref=1C20238211021710419DCC82D3B422A29A49BD74E3AD76AC4A2217391C67356AE15ABBCFDDBCB092315C31963CCBS9H" TargetMode="External"/><Relationship Id="rId45" Type="http://schemas.openxmlformats.org/officeDocument/2006/relationships/hyperlink" Target="consultantplus://offline/ref=1C20238211021710419DCC82D3B422A29B4BBE75E1AA76AC4A2217391C67356AF35AE3C3DCBFAE90354967C779E5CA0682BA1EE96EFCABACC2S3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C20238211021710419DCC82D3B422A29B49BF7EE9A076AC4A2217391C67356AF35AE3C3DCBFAE963F4967C779E5CA0682BA1EE96EFCABACC2S3H" TargetMode="External"/><Relationship Id="rId23" Type="http://schemas.openxmlformats.org/officeDocument/2006/relationships/hyperlink" Target="consultantplus://offline/ref=1C20238211021710419DCC82D3B422A29B49BF7EE9A076AC4A2217391C67356AE15ABBCFDDBCB092315C31963CCBS9H" TargetMode="External"/><Relationship Id="rId28" Type="http://schemas.openxmlformats.org/officeDocument/2006/relationships/hyperlink" Target="consultantplus://offline/ref=1C20238211021710419DCC82D3B422A29B49BF7EE9A076AC4A2217391C67356AE15ABBCFDDBCB092315C31963CCBS9H" TargetMode="External"/><Relationship Id="rId36" Type="http://schemas.openxmlformats.org/officeDocument/2006/relationships/hyperlink" Target="consultantplus://offline/ref=1C20238211021710419DCC82D3B422A29B4BBE75E1AA76AC4A2217391C67356AF35AE3C3DCBFAE933F4967C779E5CA0682BA1EE96EFCABACC2S3H" TargetMode="External"/><Relationship Id="rId10" Type="http://schemas.openxmlformats.org/officeDocument/2006/relationships/hyperlink" Target="consultantplus://offline/ref=1C20238211021710419DCC82D3B422A29B49BF7EE9A076AC4A2217391C67356AF35AE3C3DCBFAE963F4967C779E5CA0682BA1EE96EFCABACC2S3H" TargetMode="External"/><Relationship Id="rId19" Type="http://schemas.openxmlformats.org/officeDocument/2006/relationships/hyperlink" Target="consultantplus://offline/ref=1C20238211021710419DCC82D3B422A29A49B975E9AD76AC4A2217391C67356AF35AE3C3DCBFAE93324967C779E5CA0682BA1EE96EFCABACC2S3H" TargetMode="External"/><Relationship Id="rId31" Type="http://schemas.openxmlformats.org/officeDocument/2006/relationships/hyperlink" Target="consultantplus://offline/ref=1C20238211021710419DCC82D3B422A29140BE70E9A32BA6427B1B3B1B686A7DF413EFC2DCBFAF913C1662D268BDC6049FA418F172FEAACAS4H" TargetMode="External"/><Relationship Id="rId44" Type="http://schemas.openxmlformats.org/officeDocument/2006/relationships/hyperlink" Target="consultantplus://offline/ref=1C20238211021710419DCC82D3B422A29B49BC7EE6AF76AC4A2217391C67356AE15ABBCFDDBCB092315C31963CCBS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20238211021710419DCC82D3B422A29B4BBE75E1AA76AC4A2217391C67356AF35AE3C3DCBFAE93324967C779E5CA0682BA1EE96EFCABACC2S3H" TargetMode="External"/><Relationship Id="rId14" Type="http://schemas.openxmlformats.org/officeDocument/2006/relationships/hyperlink" Target="consultantplus://offline/ref=1C20238211021710419DCC82D3B422A29B4BBE75E1AA76AC4A2217391C67356AF35AE3C3DCBFAE93324967C779E5CA0682BA1EE96EFCABACC2S3H" TargetMode="External"/><Relationship Id="rId22" Type="http://schemas.openxmlformats.org/officeDocument/2006/relationships/hyperlink" Target="consultantplus://offline/ref=1C20238211021710419DC98DD0B422A29A4FB972E6A32BA6427B1B3B1B686A7DF413EFC2DCBFAF953C1662D268BDC6049FA418F172FEAACAS4H" TargetMode="External"/><Relationship Id="rId27" Type="http://schemas.openxmlformats.org/officeDocument/2006/relationships/hyperlink" Target="consultantplus://offline/ref=1C20238211021710419DCC82D3B422A29940B672E9AA76AC4A2217391C67356AE15ABBCFDDBCB092315C31963CCBS9H" TargetMode="External"/><Relationship Id="rId30" Type="http://schemas.openxmlformats.org/officeDocument/2006/relationships/hyperlink" Target="consultantplus://offline/ref=1C20238211021710419DCC82D3B422A29A49B975E9AD76AC4A2217391C67356AF35AE3C3DCBFAE933F4967C779E5CA0682BA1EE96EFCABACC2S3H" TargetMode="External"/><Relationship Id="rId35" Type="http://schemas.openxmlformats.org/officeDocument/2006/relationships/hyperlink" Target="consultantplus://offline/ref=1C20238211021710419DCC82D3B422A29B49BD7EE2AC76AC4A2217391C67356AF35AE3C3DCBFAE93304967C779E5CA0682BA1EE96EFCABACC2S3H" TargetMode="External"/><Relationship Id="rId43" Type="http://schemas.openxmlformats.org/officeDocument/2006/relationships/hyperlink" Target="consultantplus://offline/ref=1C20238211021710419DCC82D3B422A29A48B976E9AE76AC4A2217391C67356AE15ABBCFDDBCB092315C31963CCBS9H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3745</Words>
  <Characters>21350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Борисович</dc:creator>
  <cp:lastModifiedBy>Виктор Борисович</cp:lastModifiedBy>
  <cp:revision>1</cp:revision>
  <dcterms:created xsi:type="dcterms:W3CDTF">2019-06-13T07:18:00Z</dcterms:created>
  <dcterms:modified xsi:type="dcterms:W3CDTF">2019-06-13T07:19:00Z</dcterms:modified>
</cp:coreProperties>
</file>