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Федеральным законом 01.03.2020 N 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капитала.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 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Принят закон о возможности направлении маткапитала на строительство жилого дома на садовом участке и новых мерах поддержки семей при рождении (усыновлении) первого ребенка.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 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Ранее строительство жилого дома было возможно только на земельном участке, предоставленном для ИЖС. В настоящее время такое строительство возможно в том числе и на садовом земельном участке.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 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В этой связи законом предусмотрена возможность направления части средств маткапитала на строительство (реконструкцию) либо на компенсацию затрат на построенный объект ИЖС на садовом земельном участке.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 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Кроме того, законом установлено 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вступило в силу начиная с 1 января 2020 года.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 </w:t>
      </w:r>
    </w:p>
    <w:p w:rsidR="00631B10" w:rsidRDefault="00631B10" w:rsidP="00631B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A4A4A"/>
          <w:sz w:val="21"/>
          <w:szCs w:val="21"/>
        </w:rPr>
      </w:pPr>
      <w:r>
        <w:rPr>
          <w:rFonts w:ascii="Arial" w:hAnsi="Arial" w:cs="Arial"/>
          <w:i/>
          <w:iCs/>
          <w:color w:val="4A4A4A"/>
          <w:sz w:val="21"/>
          <w:szCs w:val="21"/>
        </w:rPr>
        <w:t>Законом также предусматривается введение дифференцированного размера маткапитала, в зависимости от рождения (усыновления) первого, второго, третьего или последующих детей.</w:t>
      </w:r>
    </w:p>
    <w:p w:rsidR="00C15303" w:rsidRDefault="00C15303">
      <w:bookmarkStart w:id="0" w:name="_GoBack"/>
      <w:bookmarkEnd w:id="0"/>
    </w:p>
    <w:sectPr w:rsidR="00C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C"/>
    <w:rsid w:val="000A19EC"/>
    <w:rsid w:val="00631B10"/>
    <w:rsid w:val="00C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C7B7-DB2A-4060-B665-BCB8BD11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2020-04-12T20:14:00Z</dcterms:created>
  <dcterms:modified xsi:type="dcterms:W3CDTF">2020-04-12T20:14:00Z</dcterms:modified>
</cp:coreProperties>
</file>