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F1" w:rsidRPr="00A879F1" w:rsidRDefault="00A879F1" w:rsidP="00A879F1">
      <w:pPr>
        <w:widowControl/>
        <w:suppressAutoHyphens w:val="0"/>
        <w:spacing w:line="276" w:lineRule="auto"/>
        <w:ind w:left="6521"/>
        <w:rPr>
          <w:rFonts w:ascii="Times New Roman" w:eastAsia="Times New Roman" w:hAnsi="Times New Roman" w:cs="Times New Roman"/>
          <w:b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ar-SA"/>
        </w:rPr>
        <w:t>УТВЕРЖДЕН</w:t>
      </w:r>
    </w:p>
    <w:p w:rsidR="00A879F1" w:rsidRPr="00A879F1" w:rsidRDefault="00A879F1" w:rsidP="00A879F1">
      <w:pPr>
        <w:widowControl/>
        <w:suppressAutoHyphens w:val="0"/>
        <w:spacing w:line="276" w:lineRule="auto"/>
        <w:ind w:left="6521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kern w:val="0"/>
          <w:lang w:eastAsia="en-US" w:bidi="ar-SA"/>
        </w:rPr>
        <w:t>Олонецкого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национального муниципального района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от «      »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 w:rsidRPr="00A879F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года №</w:t>
      </w: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A879F1" w:rsidP="00A879F1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B02E5" w:rsidRDefault="00F44A1A" w:rsidP="00A879F1">
      <w:pPr>
        <w:pStyle w:val="ConsPlusTitle"/>
        <w:ind w:firstLine="567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879F1">
        <w:rPr>
          <w:rFonts w:ascii="Times New Roman" w:hAnsi="Times New Roman" w:cs="Times New Roman"/>
          <w:color w:val="000000"/>
          <w:sz w:val="28"/>
          <w:szCs w:val="28"/>
        </w:rPr>
        <w:t>РОЕКТ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79F1" w:rsidRDefault="00F44A1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Местные нормативы градостроительного проектирования </w:t>
      </w:r>
    </w:p>
    <w:p w:rsidR="008B02E5" w:rsidRDefault="00A879F1">
      <w:pPr>
        <w:pStyle w:val="ConsPlusTitle"/>
        <w:jc w:val="center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местные нормативы)  </w:t>
      </w: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 области физической культуры и массового спорта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8B02E5" w:rsidRDefault="008B02E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a8"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Согласно части 4 статьи 29.4 Градостроительного кодекса Российской Федерации расчетные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показатели минимально допустимого уров</w:t>
      </w:r>
      <w:bookmarkStart w:id="0" w:name="_GoBack"/>
      <w:bookmarkEnd w:id="0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поселения    могут быть утверждены в отношении одно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го из видов объектов местного значения.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В местных нормативах приведенные понятия применяются в следующем значении: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объекты местного значения - объекты капитального строительства, иные объекты, территории, которые необходимы для осуществления органами местн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законами, законом Республики Карелия, уставами муниципальных образований и оказывают существенное влияние на социал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ьно-экономическое развитие поселений. Виды объектов местного значения поселения, подлежащие отображению на генеральном плане поселения, определены Законом Республики Карелия от 2 ноября 2012 года № 1644-ЗРК «О некоторых вопросах градостроительной деятельно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сти в Республике Карелия»;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инфраструктура - это совокупность предприятий, учреждений, систем управления, связи и т.п., обеспечивающая деятельность общества или какой-либо ее отдельной сферы;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программы комплексного развития социальной инфраструктуры поселен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ия - документы, устанавливающие перечни мероприятий по проектированию, строительству, реконструкции объектов социальной инфраструктуры местного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значения поселения, которые предусмотрены также государственными и муниципальными программами, стратегией социал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данных стратегии и плана), планом и программой комплексного социально-экономическо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го развития муниципального образования.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Программы комплексного развития социальной инфраструктуры поселения разрабатываются и утверждаются органами местного самоуправления на основании утвержденных в поряд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ке, установленном Градостроительным кодексом Россий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ской Федерации, генеральных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планов поселения и обеспечивают сбалансированное, перспективное развитие социальной инфраструктуры поселения в соответствии с потребностями в строительстве объектов социальной инфраструктуры местного значения;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физическая культур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а (физкультура) - область социальной деятельности, направленная на сохранение и укрепление здоровья, развитие психофизических способностей человека в процессе осознанной двигательной активности. Это часть культуры, представляющая собой совокупность ценност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ей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 физической подготовки и физического развития.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Иные понятия, используемые в настоящих нормативах, употребляются в значениях, соответствующих значениям, содержащимся в федеральном и региональном законодательстве. </w:t>
      </w:r>
    </w:p>
    <w:p w:rsidR="008B02E5" w:rsidRDefault="00F44A1A">
      <w:pPr>
        <w:widowControl/>
        <w:spacing w:before="120" w:line="232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 соответствии с частью 5 статьи 29.2 Град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остроительного кодекса Российской Федерации местные нормативы включают в себя:</w:t>
      </w:r>
    </w:p>
    <w:p w:rsidR="008B02E5" w:rsidRDefault="00F44A1A">
      <w:pPr>
        <w:widowControl/>
        <w:spacing w:line="232" w:lineRule="atLeast"/>
        <w:ind w:firstLine="567"/>
        <w:jc w:val="both"/>
      </w:pP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1) основную часть (расчетные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льной доступности таких объектов для населения поселения, а также предельные значения расчетных показателей минимально допустимого уровня обеспеченности объектами местного значения и предельные значения расчетных показателей максимально допустимого уровня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территориальной доступности таких объектов для населения поселения); </w:t>
      </w:r>
      <w:proofErr w:type="gramEnd"/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2) правила и область применения расчетных показателей, содержащихся в основной части местных нормативов;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3) материалы по обоснованию расчетных показателей, содержащихся в основной части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местных нормативов. </w:t>
      </w:r>
    </w:p>
    <w:p w:rsidR="008B02E5" w:rsidRDefault="00F44A1A">
      <w:pPr>
        <w:widowControl/>
        <w:spacing w:before="120"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Подготовка местных нормативов осуществлялась с учетом: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Градостроительного кодекса Российской Федерации;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2.07.01-89*;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письма Федеральной службы по надзору в сфере защиты прав потребителей и благополучия человека от 29 дека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бря 2012 года № 01/15199-12-23 «Об использовании помещений образовательных учреждений для занятия спортом и физкультурой»;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Закона Республики Карелия от 2 ноября 2012 года № 1644-ЗРК «О некоторых вопросах градостроительной деятельности в Республике Карелия»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постановления Правительства Республики Карелия от 6 июля 2007 года № 102-П «Об утверждении Схемы территориального планирования Республики Карелия»; 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постановления Правительства Республики Карелия от 17 июля 2014 года № 228-П «Об утверждении государственн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ой программы Республики Карелия «Развитие физической культуры и спорта»;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приказа Минстроя России № 897/</w:t>
      </w:r>
      <w:proofErr w:type="spellStart"/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России № 1128 от 27 декабря 2019 года «Об утверждении методических рекомендаций по благоустройству общественных и дворовых территорий средс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твами спортивной и детской игровой инфраструктуры»;</w:t>
      </w:r>
    </w:p>
    <w:p w:rsidR="008B02E5" w:rsidRDefault="00F44A1A">
      <w:pPr>
        <w:widowControl/>
        <w:spacing w:line="176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приказа Минэкономразвития России от 15 февраля 2021 года № 71 «Об утверждении Методических рекомендаций по подготовке нормативов градостроительного проектирования».</w:t>
      </w:r>
    </w:p>
    <w:p w:rsidR="008B02E5" w:rsidRDefault="008B02E5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Основная часть</w:t>
      </w:r>
    </w:p>
    <w:p w:rsidR="008B02E5" w:rsidRDefault="008B02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/>
          <w:sz w:val="28"/>
          <w:szCs w:val="28"/>
        </w:rPr>
        <w:t xml:space="preserve">1.1. Расчетные показатели минимально допустимого уровня обеспеченности объектами местного значения поселения в области физической культуры и массового спорта </w:t>
      </w:r>
    </w:p>
    <w:p w:rsidR="008B02E5" w:rsidRDefault="008B02E5">
      <w:pPr>
        <w:pStyle w:val="ConsPlusNormal"/>
        <w:jc w:val="both"/>
      </w:pPr>
    </w:p>
    <w:tbl>
      <w:tblPr>
        <w:tblW w:w="10268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2975"/>
        <w:gridCol w:w="5104"/>
      </w:tblGrid>
      <w:tr w:rsidR="008B02E5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 xml:space="preserve">Наименование вида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Наименование расчетного показателя, единица измерения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Значение расчетного пок</w:t>
            </w:r>
            <w:r>
              <w:rPr>
                <w:sz w:val="28"/>
                <w:szCs w:val="28"/>
              </w:rPr>
              <w:t xml:space="preserve">азателя минимально допустимого уровня обеспеченности 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Уровень обеспеченности, кв. м площади пола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70 на 1 тыс. чел.</w:t>
            </w:r>
          </w:p>
        </w:tc>
      </w:tr>
      <w:tr w:rsidR="008B02E5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7 000 - 9 000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Плавательные бассейны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 xml:space="preserve">Уровень обеспеченности, кв. </w:t>
            </w:r>
            <w:r>
              <w:rPr>
                <w:sz w:val="28"/>
                <w:szCs w:val="28"/>
              </w:rPr>
              <w:t>м зеркала воды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25 на 1 тыс. человек</w:t>
            </w:r>
          </w:p>
        </w:tc>
      </w:tr>
      <w:tr w:rsidR="008B02E5">
        <w:trPr>
          <w:trHeight w:val="960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3 500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Плоскостные сооружения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Уровень обеспеченности, кв. 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1 950 на 1 тыс. человек, в том числе по типу: крытые плоскостные сооружения - 30%, открытые плоскостные сооружения</w:t>
            </w:r>
            <w:r>
              <w:rPr>
                <w:sz w:val="28"/>
                <w:szCs w:val="28"/>
              </w:rPr>
              <w:t xml:space="preserve"> - 70%</w:t>
            </w:r>
          </w:p>
        </w:tc>
      </w:tr>
      <w:tr w:rsidR="008B02E5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Размер земельного участка кв. м / тыс. чел.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sz w:val="28"/>
                <w:szCs w:val="28"/>
              </w:rPr>
              <w:t>5 000</w:t>
            </w:r>
          </w:p>
        </w:tc>
      </w:tr>
      <w:tr w:rsidR="008B02E5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Спортивная и детская игровая инфраструктура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color w:val="000000"/>
                <w:sz w:val="28"/>
                <w:szCs w:val="28"/>
              </w:rPr>
              <w:t>Уровень обеспеченности, кв. м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На территориях жилой застройки рекомендуется проектировать из расчета 100 - 300 м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vertAlign w:val="superscript"/>
                <w:lang w:bidi="ar-SA"/>
              </w:rPr>
              <w:t>2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общей площади и не менее 0,5 - 0,7 м</w:t>
            </w:r>
            <w:r>
              <w:rPr>
                <w:rFonts w:cs="Times New Roman"/>
                <w:color w:val="000000"/>
                <w:sz w:val="28"/>
                <w:szCs w:val="28"/>
                <w:vertAlign w:val="superscript"/>
                <w:lang w:bidi="ar-SA"/>
              </w:rPr>
              <w:t>2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 на одного жителя,    на территориях иных зон – по </w:t>
            </w:r>
            <w:r>
              <w:rPr>
                <w:rFonts w:eastAsia="Arial" w:cs="Times New Roman"/>
                <w:color w:val="000000"/>
                <w:sz w:val="28"/>
                <w:szCs w:val="28"/>
              </w:rPr>
              <w:t>заданию на проектирование</w:t>
            </w:r>
          </w:p>
        </w:tc>
      </w:tr>
      <w:tr w:rsidR="008B02E5"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color w:val="000000"/>
                <w:sz w:val="28"/>
                <w:szCs w:val="28"/>
              </w:rPr>
              <w:t>Размер земельного участка кв. м / человека</w:t>
            </w:r>
          </w:p>
        </w:tc>
        <w:tc>
          <w:tcPr>
            <w:tcW w:w="5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8B02E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center"/>
      </w:pPr>
      <w:r>
        <w:rPr>
          <w:rFonts w:cs="Times New Roman"/>
          <w:b/>
          <w:sz w:val="28"/>
          <w:szCs w:val="28"/>
        </w:rPr>
        <w:t xml:space="preserve">1.2. Расчетные показатели максимально допустимого уровня территориальной доступности объектов местного значения поселения в </w:t>
      </w:r>
      <w:r>
        <w:rPr>
          <w:rFonts w:cs="Times New Roman"/>
          <w:b/>
          <w:sz w:val="28"/>
          <w:szCs w:val="28"/>
        </w:rPr>
        <w:t>области физической культуры и массового спорта</w:t>
      </w:r>
    </w:p>
    <w:p w:rsidR="008B02E5" w:rsidRDefault="008B02E5">
      <w:pPr>
        <w:pStyle w:val="ConsPlusNormal"/>
        <w:jc w:val="both"/>
        <w:rPr>
          <w:rFonts w:cs="Times New Roman"/>
          <w:sz w:val="28"/>
          <w:szCs w:val="28"/>
        </w:rPr>
      </w:pPr>
    </w:p>
    <w:tbl>
      <w:tblPr>
        <w:tblW w:w="9985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183"/>
        <w:gridCol w:w="5897"/>
      </w:tblGrid>
      <w:tr w:rsidR="008B02E5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 xml:space="preserve">Наименование вида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Наименование расчетного показателя, единица измерения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 xml:space="preserve">Значение расчетного показателя максимально допустимого уровня территориальной доступности 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</w:t>
            </w:r>
            <w:r>
              <w:rPr>
                <w:rFonts w:cs="Times New Roman"/>
                <w:sz w:val="28"/>
                <w:szCs w:val="28"/>
              </w:rPr>
              <w:t xml:space="preserve">территориальной 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объектами индивидуа</w:t>
            </w:r>
            <w:r>
              <w:rPr>
                <w:rFonts w:cs="Times New Roman"/>
                <w:sz w:val="28"/>
                <w:szCs w:val="28"/>
              </w:rPr>
              <w:t>льного жилищного строительства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Плавательные бассейны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индивидуальными жилыми домами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  <w:tr w:rsidR="008B02E5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  <w:jc w:val="center"/>
            </w:pPr>
            <w:r>
              <w:rPr>
                <w:rFonts w:cs="Times New Roman"/>
                <w:sz w:val="28"/>
                <w:szCs w:val="28"/>
              </w:rPr>
              <w:t>Плоскостные сооружения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Уровень </w:t>
            </w:r>
            <w:r>
              <w:rPr>
                <w:rFonts w:cs="Times New Roman"/>
                <w:sz w:val="28"/>
                <w:szCs w:val="28"/>
              </w:rPr>
              <w:t xml:space="preserve">территориальной </w:t>
            </w:r>
            <w:r>
              <w:rPr>
                <w:rFonts w:cs="Times New Roman"/>
                <w:sz w:val="28"/>
                <w:szCs w:val="28"/>
              </w:rPr>
              <w:lastRenderedPageBreak/>
              <w:t xml:space="preserve">доступности для населения,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м</w:t>
            </w:r>
            <w:proofErr w:type="gramEnd"/>
            <w:r>
              <w:rPr>
                <w:rFonts w:cs="Times New Roman"/>
                <w:sz w:val="28"/>
                <w:szCs w:val="28"/>
              </w:rPr>
              <w:t>/минут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lastRenderedPageBreak/>
              <w:t>Пешеходная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 xml:space="preserve">Зона застройки многоэтажными, </w:t>
            </w: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среднеэтажными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многоквартирными домами, домами блокированной застройки, зона жилой застройки иных видов - 1 000 м; зона застройки индивидуальными жил</w:t>
            </w:r>
            <w:r>
              <w:rPr>
                <w:rFonts w:cs="Times New Roman"/>
                <w:sz w:val="28"/>
                <w:szCs w:val="28"/>
              </w:rPr>
              <w:t>ыми домами - 1 500 м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Транспортная доступность</w:t>
            </w:r>
          </w:p>
        </w:tc>
      </w:tr>
      <w:tr w:rsidR="008B02E5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2E5" w:rsidRDefault="008B02E5">
            <w:pPr>
              <w:pStyle w:val="ConsPlusNormal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2E5" w:rsidRDefault="00F44A1A">
            <w:pPr>
              <w:pStyle w:val="ConsPlusNormal"/>
            </w:pPr>
            <w:r>
              <w:rPr>
                <w:rFonts w:cs="Times New Roman"/>
                <w:sz w:val="28"/>
                <w:szCs w:val="28"/>
              </w:rPr>
              <w:t>20 минут - в сельской местности</w:t>
            </w:r>
          </w:p>
        </w:tc>
      </w:tr>
    </w:tbl>
    <w:p w:rsidR="008B02E5" w:rsidRDefault="008B02E5">
      <w:pPr>
        <w:pStyle w:val="ConsPlusNormal"/>
        <w:ind w:firstLine="567"/>
        <w:jc w:val="center"/>
        <w:rPr>
          <w:rFonts w:cs="Times New Roman"/>
          <w:b/>
          <w:sz w:val="28"/>
          <w:szCs w:val="28"/>
        </w:rPr>
      </w:pPr>
    </w:p>
    <w:p w:rsidR="008B02E5" w:rsidRDefault="00F44A1A">
      <w:pPr>
        <w:pStyle w:val="ConsPlusNormal"/>
        <w:ind w:firstLine="567"/>
        <w:jc w:val="center"/>
      </w:pPr>
      <w:r>
        <w:rPr>
          <w:rFonts w:cs="Times New Roman"/>
          <w:b/>
          <w:sz w:val="28"/>
          <w:szCs w:val="28"/>
        </w:rPr>
        <w:t xml:space="preserve">2. </w:t>
      </w:r>
      <w:r>
        <w:rPr>
          <w:rFonts w:cs="Times New Roman"/>
          <w:b/>
          <w:bCs/>
          <w:sz w:val="28"/>
          <w:szCs w:val="28"/>
        </w:rPr>
        <w:t>Правила и область применения расчетных показателей, содержащихся в основной части местных нормативов в области физической культуры и массового спорта</w:t>
      </w:r>
    </w:p>
    <w:p w:rsidR="008B02E5" w:rsidRDefault="008B02E5">
      <w:pPr>
        <w:widowControl/>
        <w:spacing w:line="232" w:lineRule="atLeast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2.1. Расчетные 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применяются при подготовке: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- программ социально-эк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ономического развития муниципальных образований, предусматривающих создание объектов местного значения поселения, подлежащих отображению в документах территориального планирования;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- генеральных планов и правил землепользования и застройки городских и сел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ьских поселений;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документации по планировке территории, предусматривающей размещение в соответствии с документами территориального планирования объектов местного значения поселения;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программ комплексного развития социальной инфраструктуры поселений.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2.2. Местные нормативы в области физической культуры и массового спорта подлежат применению: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- органами исполнительной власти Республики Карелия при рассмотрении и подготовке заключений на проекты документов территориального планирования муниципальных об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разований в случаях, предусмотренных законодательством о градостроительной деятельности;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исполнительной власти Республики Карелия при осуществлении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контроля за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соблюдением органами местного самоуправления законодательства о градостроительной деятельности;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- органами местного самоуправления при принятии решений о развитии застроенны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х территорий муниципальных образований;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- органами местного самоуправления при проведен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ии ау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кционов по продаже права на заключение договора аренды земельного участка из земель, находящихся в муниципальной собственности, для его комплексного освоения в цел</w:t>
      </w: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ях жилищного строительства; </w:t>
      </w:r>
    </w:p>
    <w:p w:rsidR="008B02E5" w:rsidRDefault="00F44A1A">
      <w:pPr>
        <w:widowControl/>
        <w:spacing w:line="232" w:lineRule="atLeast"/>
        <w:ind w:firstLine="567"/>
        <w:jc w:val="both"/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- органами местного самоуправления при принятии решения о резервировании земель для муниципальных нужд. </w:t>
      </w:r>
    </w:p>
    <w:p w:rsidR="008B02E5" w:rsidRDefault="008B02E5">
      <w:pPr>
        <w:widowControl/>
        <w:spacing w:line="232" w:lineRule="atLeast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3. Обоснование расчетных показателей, содержащихся в основной части местных нормативов</w:t>
      </w: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8"/>
          <w:szCs w:val="28"/>
        </w:rPr>
        <w:t>3.1. Расчетные показатели минима</w:t>
      </w:r>
      <w:r>
        <w:rPr>
          <w:rFonts w:ascii="Times New Roman" w:hAnsi="Times New Roman" w:cs="Times New Roman"/>
          <w:sz w:val="28"/>
          <w:szCs w:val="28"/>
        </w:rPr>
        <w:t>льно допустимого уровня обеспеченности объектами местного значения поселения в области физической культуры и массового спорта</w:t>
      </w:r>
    </w:p>
    <w:p w:rsidR="008B02E5" w:rsidRDefault="008B02E5">
      <w:pPr>
        <w:pStyle w:val="ConsPlusNormal"/>
        <w:ind w:firstLine="567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Согласно Стратегии социально-экономического развития Республики Карелия до 2030 года показатели обеспеченности спортивными </w:t>
      </w:r>
      <w:r>
        <w:rPr>
          <w:rFonts w:cs="Times New Roman"/>
          <w:sz w:val="28"/>
          <w:szCs w:val="28"/>
        </w:rPr>
        <w:t>сооружениями направлены на достижение целевых показателей: увеличение доли граждан, ведущих здоровый образ жизни, а также увеличение до 70% доли граждан, систематически занимающихся физической культурой и спортом.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В соответствии со Стратегией социально-эко</w:t>
      </w:r>
      <w:r>
        <w:rPr>
          <w:rFonts w:cs="Times New Roman"/>
          <w:sz w:val="28"/>
          <w:szCs w:val="28"/>
        </w:rPr>
        <w:t>номического развития Республики Карелия на период до 2030 года в области развития спорта установлены: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Задача - создание условий, обеспечивающих широкие возможности для систематических занятий физической культурой и спортом, рост достижений спортсменов из Р</w:t>
      </w:r>
      <w:r>
        <w:rPr>
          <w:rFonts w:cs="Times New Roman"/>
          <w:sz w:val="28"/>
          <w:szCs w:val="28"/>
        </w:rPr>
        <w:t>еспублики Карелия.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Основные мероприятия:</w:t>
      </w:r>
    </w:p>
    <w:p w:rsidR="008B02E5" w:rsidRDefault="00F44A1A">
      <w:pPr>
        <w:pStyle w:val="ConsPlusNormal"/>
        <w:numPr>
          <w:ilvl w:val="0"/>
          <w:numId w:val="1"/>
        </w:numPr>
        <w:spacing w:before="120"/>
        <w:ind w:firstLine="567"/>
        <w:jc w:val="both"/>
      </w:pPr>
      <w:bookmarkStart w:id="1" w:name="bookmark95"/>
      <w:bookmarkEnd w:id="1"/>
      <w:r>
        <w:rPr>
          <w:rFonts w:cs="Times New Roman"/>
          <w:sz w:val="28"/>
          <w:szCs w:val="28"/>
        </w:rPr>
        <w:t>введение нормативов по строительству и реконструкции социальной и спортивной инфраструктуры при строительстве коммерческих и жилых площадей;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2" w:name="bookmark96"/>
      <w:bookmarkEnd w:id="2"/>
      <w:r>
        <w:rPr>
          <w:rFonts w:cs="Times New Roman"/>
          <w:sz w:val="28"/>
          <w:szCs w:val="28"/>
        </w:rPr>
        <w:t>содействие формированию единой системы управления физической культурой и с</w:t>
      </w:r>
      <w:r>
        <w:rPr>
          <w:rFonts w:cs="Times New Roman"/>
          <w:sz w:val="28"/>
          <w:szCs w:val="28"/>
        </w:rPr>
        <w:t>портом;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3" w:name="bookmark97"/>
      <w:bookmarkEnd w:id="3"/>
      <w:r>
        <w:rPr>
          <w:rFonts w:cs="Times New Roman"/>
          <w:sz w:val="28"/>
          <w:szCs w:val="28"/>
        </w:rPr>
        <w:t>заключение соглашений с заинтересованными организациями по вопросам совместной деятельности в области развития физической культуры и спорта в Республике Карелия;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внедрение Всероссийского физкультурно-спортивного комплекса «Готов к труду и обороне</w:t>
      </w:r>
      <w:r>
        <w:rPr>
          <w:rFonts w:cs="Times New Roman"/>
          <w:sz w:val="28"/>
          <w:szCs w:val="28"/>
        </w:rPr>
        <w:t>» (оснащение и обеспечение деятельности центров тестирования Всероссийского физкультурно-спортивного комплекса «Готов к ТРУДУ и обороне», его пропаганда и стимулирование жителей республики к подготовке и выполнению нормативов комплекса);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4" w:name="bookmark98"/>
      <w:bookmarkStart w:id="5" w:name="bookmark99"/>
      <w:bookmarkEnd w:id="4"/>
      <w:bookmarkEnd w:id="5"/>
      <w:r>
        <w:rPr>
          <w:rFonts w:cs="Times New Roman"/>
          <w:sz w:val="28"/>
          <w:szCs w:val="28"/>
        </w:rPr>
        <w:t xml:space="preserve">совершенствование </w:t>
      </w:r>
      <w:r>
        <w:rPr>
          <w:rFonts w:cs="Times New Roman"/>
          <w:sz w:val="28"/>
          <w:szCs w:val="28"/>
        </w:rPr>
        <w:t>системы информационной политики и пропаганды занятий физической культурой и спортом;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6" w:name="bookmark100"/>
      <w:bookmarkEnd w:id="6"/>
      <w:r>
        <w:rPr>
          <w:rFonts w:cs="Times New Roman"/>
          <w:sz w:val="28"/>
          <w:szCs w:val="28"/>
        </w:rPr>
        <w:t>оборудование общественных пространств и парковых зон комплексами уличных спортивных тренажеров, площадками для занятий спортом и организация спортивных мероприятий;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7" w:name="bookmark101"/>
      <w:bookmarkEnd w:id="7"/>
      <w:r>
        <w:rPr>
          <w:rFonts w:cs="Times New Roman"/>
          <w:sz w:val="28"/>
          <w:szCs w:val="28"/>
        </w:rPr>
        <w:t>создан</w:t>
      </w:r>
      <w:r>
        <w:rPr>
          <w:rFonts w:cs="Times New Roman"/>
          <w:sz w:val="28"/>
          <w:szCs w:val="28"/>
        </w:rPr>
        <w:t>ие условий для занятий физической культурой и спортом для всех категорий и групп населения;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8" w:name="bookmark102"/>
      <w:bookmarkEnd w:id="8"/>
      <w:r>
        <w:rPr>
          <w:rFonts w:cs="Times New Roman"/>
          <w:sz w:val="28"/>
          <w:szCs w:val="28"/>
        </w:rPr>
        <w:t>обеспечение шаговой доступности спортивных объектов;</w:t>
      </w:r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bookmarkStart w:id="9" w:name="bookmark103"/>
      <w:bookmarkEnd w:id="9"/>
      <w:r>
        <w:rPr>
          <w:rFonts w:cs="Times New Roman"/>
          <w:sz w:val="28"/>
          <w:szCs w:val="28"/>
        </w:rPr>
        <w:t>увеличение доли граждан, систематически занимающихся физической культурой и спортом, до 70%;</w:t>
      </w:r>
      <w:bookmarkStart w:id="10" w:name="bookmark104"/>
      <w:bookmarkEnd w:id="10"/>
    </w:p>
    <w:p w:rsidR="008B02E5" w:rsidRDefault="00F44A1A">
      <w:pPr>
        <w:pStyle w:val="ConsPlusNormal"/>
        <w:numPr>
          <w:ilvl w:val="0"/>
          <w:numId w:val="1"/>
        </w:numPr>
        <w:ind w:firstLine="567"/>
        <w:jc w:val="both"/>
      </w:pPr>
      <w:r>
        <w:rPr>
          <w:rFonts w:cs="Times New Roman"/>
          <w:sz w:val="28"/>
          <w:szCs w:val="28"/>
        </w:rPr>
        <w:t xml:space="preserve">проведение </w:t>
      </w:r>
      <w:r>
        <w:rPr>
          <w:rFonts w:cs="Times New Roman"/>
          <w:sz w:val="28"/>
          <w:szCs w:val="28"/>
        </w:rPr>
        <w:t>массовых спортивных мероприятий (легкоатлетических, лыжных и велопробегов и др.).</w:t>
      </w:r>
    </w:p>
    <w:p w:rsidR="008B02E5" w:rsidRDefault="00F44A1A">
      <w:pPr>
        <w:pStyle w:val="ConsPlusNormal"/>
        <w:spacing w:before="120"/>
        <w:ind w:firstLine="567"/>
        <w:jc w:val="both"/>
      </w:pPr>
      <w:proofErr w:type="gramStart"/>
      <w:r>
        <w:rPr>
          <w:rFonts w:cs="Times New Roman"/>
          <w:sz w:val="28"/>
          <w:szCs w:val="28"/>
        </w:rPr>
        <w:lastRenderedPageBreak/>
        <w:t>Согласно письму Федеральной службы по надзору в сфере защиты прав потребителей и благополучия человека от 29 декабря 2012 года № 01/15199-12-23 «Об использовании помещений об</w:t>
      </w:r>
      <w:r>
        <w:rPr>
          <w:rFonts w:cs="Times New Roman"/>
          <w:sz w:val="28"/>
          <w:szCs w:val="28"/>
        </w:rPr>
        <w:t xml:space="preserve">разовательных учреждений для занятия спортом и физкультурой» разрешается использование спортивных сооружений (физкультурно-спортивные залы, плавательные бассейны, плоскостные сооружения) образовательных организаций для проведения различных форм спортивных </w:t>
      </w:r>
      <w:r>
        <w:rPr>
          <w:rFonts w:cs="Times New Roman"/>
          <w:sz w:val="28"/>
          <w:szCs w:val="28"/>
        </w:rPr>
        <w:t>занятий и оздоровительных мероприятий (секции, соревнования и другие) во время внеурочной деятельности</w:t>
      </w:r>
      <w:proofErr w:type="gramEnd"/>
      <w:r>
        <w:rPr>
          <w:rFonts w:cs="Times New Roman"/>
          <w:sz w:val="28"/>
          <w:szCs w:val="28"/>
        </w:rPr>
        <w:t xml:space="preserve"> для всех групп населения, в том числе и взрослых, при условии соблюдения режима уборки указанных помещений. Следовательно, спортивные сооружения при обра</w:t>
      </w:r>
      <w:r>
        <w:rPr>
          <w:rFonts w:cs="Times New Roman"/>
          <w:sz w:val="28"/>
          <w:szCs w:val="28"/>
        </w:rPr>
        <w:t>зовательных организациях должны быть учтены в общем уровне обеспеченности населения спортивными сооружениями.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С учетом климатических особенностей территории в целях повышения доступности установлен процент крытых плоскостных сооружений - 30%.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Согласно СП 4</w:t>
      </w:r>
      <w:r>
        <w:rPr>
          <w:rFonts w:cs="Times New Roman"/>
          <w:sz w:val="28"/>
          <w:szCs w:val="28"/>
        </w:rPr>
        <w:t>2.13330.2016. установлен расчетный показатель минимально допустимого уровня обеспеченности помещениями для физкультурных занятий и тренировок - 70 кв. м общей площади на 1 000 человек.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По данному виду объектов рекомендуется формировать единые комплексы с п</w:t>
      </w:r>
      <w:r>
        <w:rPr>
          <w:rFonts w:cs="Times New Roman"/>
          <w:sz w:val="28"/>
          <w:szCs w:val="28"/>
        </w:rPr>
        <w:t>омещениями для культурно-досуговой деятельности.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Размер земельного участка для помещений для физкультурных занятий и тренировок не устанавливался, так как данный вид объектов рекомендуется размещать в составе жилого или общественного комплекса.</w:t>
      </w:r>
    </w:p>
    <w:p w:rsidR="008B02E5" w:rsidRDefault="008B02E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02E5" w:rsidRDefault="00F44A1A">
      <w:pPr>
        <w:pStyle w:val="ConsPlusTitle"/>
        <w:ind w:firstLine="567"/>
        <w:jc w:val="center"/>
      </w:pPr>
      <w:r>
        <w:rPr>
          <w:rFonts w:ascii="Times New Roman" w:hAnsi="Times New Roman" w:cs="Times New Roman"/>
          <w:sz w:val="28"/>
          <w:szCs w:val="28"/>
        </w:rPr>
        <w:t>3.2. Расче</w:t>
      </w:r>
      <w:r>
        <w:rPr>
          <w:rFonts w:ascii="Times New Roman" w:hAnsi="Times New Roman" w:cs="Times New Roman"/>
          <w:sz w:val="28"/>
          <w:szCs w:val="28"/>
        </w:rPr>
        <w:t xml:space="preserve">тные показатели максимально допустимого уровня территориальной доступности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объектов местного значения поселения в</w:t>
      </w:r>
      <w:r>
        <w:rPr>
          <w:rFonts w:ascii="Times New Roman" w:hAnsi="Times New Roman" w:cs="Times New Roman"/>
          <w:sz w:val="28"/>
          <w:szCs w:val="28"/>
        </w:rPr>
        <w:t xml:space="preserve"> области физической культуры и массового спорта</w:t>
      </w:r>
    </w:p>
    <w:p w:rsidR="008B02E5" w:rsidRDefault="008B02E5">
      <w:pPr>
        <w:pStyle w:val="ConsPlusNormal"/>
        <w:ind w:firstLine="567"/>
        <w:jc w:val="both"/>
        <w:rPr>
          <w:rFonts w:cs="Times New Roman"/>
          <w:sz w:val="28"/>
          <w:szCs w:val="28"/>
        </w:rPr>
      </w:pP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На основании СП 42.13330.2016. установлены расчетные показатели максимально допустимого уровня</w:t>
      </w:r>
      <w:r>
        <w:rPr>
          <w:rFonts w:cs="Times New Roman"/>
          <w:sz w:val="28"/>
          <w:szCs w:val="28"/>
        </w:rPr>
        <w:t xml:space="preserve"> территориальной доступности (пешеходной и транспортной) объектов </w:t>
      </w:r>
      <w:r>
        <w:rPr>
          <w:rFonts w:cs="Times New Roman"/>
          <w:color w:val="000000"/>
          <w:sz w:val="28"/>
          <w:szCs w:val="28"/>
        </w:rPr>
        <w:t>местного значения поселения в</w:t>
      </w:r>
      <w:r>
        <w:rPr>
          <w:rFonts w:cs="Times New Roman"/>
          <w:sz w:val="28"/>
          <w:szCs w:val="28"/>
        </w:rPr>
        <w:t xml:space="preserve"> области физической культуры и массового спорта: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пешеходная доступность: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- зона застройки многоэтажными, </w:t>
      </w:r>
      <w:proofErr w:type="spellStart"/>
      <w:r>
        <w:rPr>
          <w:rFonts w:cs="Times New Roman"/>
          <w:sz w:val="28"/>
          <w:szCs w:val="28"/>
        </w:rPr>
        <w:t>среднеэтажными</w:t>
      </w:r>
      <w:proofErr w:type="spellEnd"/>
      <w:r>
        <w:rPr>
          <w:rFonts w:cs="Times New Roman"/>
          <w:sz w:val="28"/>
          <w:szCs w:val="28"/>
        </w:rPr>
        <w:t xml:space="preserve"> многоквартирными домами, домами блокирова</w:t>
      </w:r>
      <w:r>
        <w:rPr>
          <w:rFonts w:cs="Times New Roman"/>
          <w:sz w:val="28"/>
          <w:szCs w:val="28"/>
        </w:rPr>
        <w:t>нной застройки, зона жилой застройки иных видов - 1 000 м;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зона застройки индивидуальными жилыми домами - 1 500 м;</w:t>
      </w:r>
    </w:p>
    <w:p w:rsidR="008B02E5" w:rsidRDefault="00F44A1A">
      <w:pPr>
        <w:pStyle w:val="ConsPlusNormal"/>
        <w:spacing w:before="120"/>
        <w:ind w:firstLine="567"/>
        <w:jc w:val="both"/>
      </w:pPr>
      <w:r>
        <w:rPr>
          <w:rFonts w:cs="Times New Roman"/>
          <w:sz w:val="28"/>
          <w:szCs w:val="28"/>
        </w:rPr>
        <w:t>транспортная доступность: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 xml:space="preserve">- зона застройки многоэтажными, </w:t>
      </w:r>
      <w:proofErr w:type="spellStart"/>
      <w:r>
        <w:rPr>
          <w:rFonts w:cs="Times New Roman"/>
          <w:sz w:val="28"/>
          <w:szCs w:val="28"/>
        </w:rPr>
        <w:t>среднеэтажными</w:t>
      </w:r>
      <w:proofErr w:type="spellEnd"/>
      <w:r>
        <w:rPr>
          <w:rFonts w:cs="Times New Roman"/>
          <w:sz w:val="28"/>
          <w:szCs w:val="28"/>
        </w:rPr>
        <w:t xml:space="preserve"> многоквартирными домами, домами блокированной застройки, зона жило</w:t>
      </w:r>
      <w:r>
        <w:rPr>
          <w:rFonts w:cs="Times New Roman"/>
          <w:sz w:val="28"/>
          <w:szCs w:val="28"/>
        </w:rPr>
        <w:t>й застройки иных видов - 20 мин.;</w:t>
      </w:r>
    </w:p>
    <w:p w:rsidR="008B02E5" w:rsidRDefault="00F44A1A">
      <w:pPr>
        <w:pStyle w:val="ConsPlusNormal"/>
        <w:ind w:firstLine="567"/>
        <w:jc w:val="both"/>
      </w:pPr>
      <w:r>
        <w:rPr>
          <w:rFonts w:cs="Times New Roman"/>
          <w:sz w:val="28"/>
          <w:szCs w:val="28"/>
        </w:rPr>
        <w:t>- зона застройки индивидуальными жилыми домами - 25 мин.</w:t>
      </w:r>
    </w:p>
    <w:sectPr w:rsidR="008B02E5">
      <w:pgSz w:w="11906" w:h="16838"/>
      <w:pgMar w:top="1080" w:right="566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4D17"/>
    <w:multiLevelType w:val="multilevel"/>
    <w:tmpl w:val="849E3DF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64874C26"/>
    <w:multiLevelType w:val="multilevel"/>
    <w:tmpl w:val="286E7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E5"/>
    <w:rsid w:val="00710A41"/>
    <w:rsid w:val="008B02E5"/>
    <w:rsid w:val="00A879F1"/>
    <w:rsid w:val="00F4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PT Astra Serif" w:eastAsia="Courier New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I44u44444444p">
    <w:name w:val="И4Iн4~т4・еu?р・4н?4е?4т?4・с・4с4|ы4[л4pк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4Hpsr">
    <w:name w:val="ﾇ4H�p�s��|��r��["/>
    <w:basedOn w:val="a"/>
    <w:qFormat/>
    <w:pPr>
      <w:keepNext/>
      <w:spacing w:before="240" w:after="120"/>
    </w:pPr>
    <w:rPr>
      <w:rFonts w:cs="Times New Roman"/>
      <w:sz w:val="28"/>
      <w:szCs w:val="28"/>
    </w:rPr>
  </w:style>
  <w:style w:type="paragraph" w:customStyle="1" w:styleId="4O444">
    <w:name w:val="ﾎ4O�・﨏?�?穩?﨏?�?騷 ?�・4�4�4�・"/>
    <w:basedOn w:val="a"/>
    <w:qFormat/>
    <w:pPr>
      <w:spacing w:after="140" w:line="276" w:lineRule="auto"/>
    </w:pPr>
  </w:style>
  <w:style w:type="paragraph" w:customStyle="1" w:styleId="4R44">
    <w:name w:val="ﾑ4R�・閇?�・4�4�"/>
    <w:basedOn w:val="4O444"/>
    <w:qFormat/>
  </w:style>
  <w:style w:type="paragraph" w:customStyle="1" w:styleId="4Npxrpyu">
    <w:name w:val="ﾍ4N�p�x�r�p�~�y�u"/>
    <w:basedOn w:val="a"/>
    <w:qFormat/>
    <w:pPr>
      <w:spacing w:before="120" w:after="120"/>
    </w:pPr>
    <w:rPr>
      <w:i/>
      <w:iCs/>
    </w:rPr>
  </w:style>
  <w:style w:type="paragraph" w:customStyle="1" w:styleId="4Tpxp">
    <w:name w:val="ﾓ4T�[�p�x�p�・蛄?�?�・"/>
    <w:basedOn w:val="a"/>
    <w:qFormat/>
    <w:rPr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eastAsia="Courier New" w:hAnsi="Arial" w:cs="Courier New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eastAsia="Courier New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Courier New" w:hAnsi="Tahoma" w:cs="Courier New"/>
      <w:sz w:val="24"/>
    </w:rPr>
  </w:style>
  <w:style w:type="paragraph" w:customStyle="1" w:styleId="ConsPlusJurTerm">
    <w:name w:val="ConsPlusJurTerm"/>
    <w:qFormat/>
    <w:pPr>
      <w:widowControl w:val="0"/>
    </w:pPr>
    <w:rPr>
      <w:rFonts w:ascii="Tahoma" w:eastAsia="Courier New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4K4">
    <w:name w:val="ﾊ4K��|��~�・閇?�・4�|�"/>
    <w:basedOn w:val="a"/>
    <w:qFormat/>
  </w:style>
  <w:style w:type="paragraph" w:customStyle="1" w:styleId="4Bu444444444y4">
    <w:name w:val="ﾂ4B�u�・�・4�4�4�?4�4�4�4�4�4�y�・�・4�"/>
    <w:basedOn w:val="4K4"/>
    <w:qFormat/>
  </w:style>
  <w:style w:type="paragraph" w:customStyle="1" w:styleId="4Nywyz4">
    <w:name w:val="ﾍ4N�y�w�~�y�z �[��|��~�・閇?�・4�|�"/>
    <w:basedOn w:val="4K4"/>
    <w:qFormat/>
  </w:style>
  <w:style w:type="paragraph" w:styleId="a8">
    <w:name w:val="Normal (Web)"/>
    <w:basedOn w:val="a"/>
    <w:qFormat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PT Astra Serif" w:eastAsia="Courier New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I44u44444444p">
    <w:name w:val="И4Iн4~т4・еu?р・4н?4е?4т?4・с・4с4|ы4[л4pк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Sans" w:eastAsia="Tahoma" w:hAnsi="PT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4Hpsr">
    <w:name w:val="ﾇ4H�p�s��|��r��["/>
    <w:basedOn w:val="a"/>
    <w:qFormat/>
    <w:pPr>
      <w:keepNext/>
      <w:spacing w:before="240" w:after="120"/>
    </w:pPr>
    <w:rPr>
      <w:rFonts w:cs="Times New Roman"/>
      <w:sz w:val="28"/>
      <w:szCs w:val="28"/>
    </w:rPr>
  </w:style>
  <w:style w:type="paragraph" w:customStyle="1" w:styleId="4O444">
    <w:name w:val="ﾎ4O�・﨏?�?穩?﨏?�?騷 ?�・4�4�4�・"/>
    <w:basedOn w:val="a"/>
    <w:qFormat/>
    <w:pPr>
      <w:spacing w:after="140" w:line="276" w:lineRule="auto"/>
    </w:pPr>
  </w:style>
  <w:style w:type="paragraph" w:customStyle="1" w:styleId="4R44">
    <w:name w:val="ﾑ4R�・閇?�・4�4�"/>
    <w:basedOn w:val="4O444"/>
    <w:qFormat/>
  </w:style>
  <w:style w:type="paragraph" w:customStyle="1" w:styleId="4Npxrpyu">
    <w:name w:val="ﾍ4N�p�x�r�p�~�y�u"/>
    <w:basedOn w:val="a"/>
    <w:qFormat/>
    <w:pPr>
      <w:spacing w:before="120" w:after="120"/>
    </w:pPr>
    <w:rPr>
      <w:i/>
      <w:iCs/>
    </w:rPr>
  </w:style>
  <w:style w:type="paragraph" w:customStyle="1" w:styleId="4Tpxp">
    <w:name w:val="ﾓ4T�[�p�x�p�・蛄?�?�・"/>
    <w:basedOn w:val="a"/>
    <w:qFormat/>
    <w:rPr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eastAsia="Courier New" w:hAnsi="Arial" w:cs="Courier New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eastAsia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eastAsia="Courier New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Courier New" w:hAnsi="Tahoma" w:cs="Courier New"/>
      <w:sz w:val="24"/>
    </w:rPr>
  </w:style>
  <w:style w:type="paragraph" w:customStyle="1" w:styleId="ConsPlusJurTerm">
    <w:name w:val="ConsPlusJurTerm"/>
    <w:qFormat/>
    <w:pPr>
      <w:widowControl w:val="0"/>
    </w:pPr>
    <w:rPr>
      <w:rFonts w:ascii="Tahoma" w:eastAsia="Courier New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Courier New" w:hAnsi="Times New Roman" w:cs="Courier New"/>
      <w:sz w:val="24"/>
    </w:rPr>
  </w:style>
  <w:style w:type="paragraph" w:customStyle="1" w:styleId="4K4">
    <w:name w:val="ﾊ4K��|��~�・閇?�・4�|�"/>
    <w:basedOn w:val="a"/>
    <w:qFormat/>
  </w:style>
  <w:style w:type="paragraph" w:customStyle="1" w:styleId="4Bu444444444y4">
    <w:name w:val="ﾂ4B�u�・�・4�4�4�?4�4�4�4�4�4�y�・�・4�"/>
    <w:basedOn w:val="4K4"/>
    <w:qFormat/>
  </w:style>
  <w:style w:type="paragraph" w:customStyle="1" w:styleId="4Nywyz4">
    <w:name w:val="ﾍ4N�y�w�~�y�z �[��|��~�・閇?�・4�|�"/>
    <w:basedOn w:val="4K4"/>
    <w:qFormat/>
  </w:style>
  <w:style w:type="paragraph" w:styleId="a8">
    <w:name w:val="Normal (Web)"/>
    <w:basedOn w:val="a"/>
    <w:qFormat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строительства, жилищно-коммунального хозяйства и энергетики РК от 25.04.2016 N 111(ред. от 01.12.2022)"Об утверждении региональных нормативов градостроительного проектирования Республики Карелия"</vt:lpstr>
    </vt:vector>
  </TitlesOfParts>
  <Company>КонсультантПлюс Версия 4023.00.50</Company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строительства, жилищно-коммунального хозяйства и энергетики РК от 25.04.2016 N 111(ред. от 01.12.2022)"Об утверждении региональных нормативов градостроительного проектирования Республики Карелия"</dc:title>
  <dc:creator>Волкова</dc:creator>
  <cp:lastModifiedBy>Пользователь Windows</cp:lastModifiedBy>
  <cp:revision>2</cp:revision>
  <dcterms:created xsi:type="dcterms:W3CDTF">2024-11-21T12:05:00Z</dcterms:created>
  <dcterms:modified xsi:type="dcterms:W3CDTF">2024-11-21T12:05:00Z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4023.00.50</vt:lpwstr>
  </property>
  <property fmtid="{D5CDD505-2E9C-101B-9397-08002B2CF9AE}" pid="3" name="Operator">
    <vt:lpwstr>Волкова</vt:lpwstr>
  </property>
</Properties>
</file>