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2C" w:rsidRPr="00D40904" w:rsidRDefault="0041772C" w:rsidP="005C1A0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-31750</wp:posOffset>
            </wp:positionV>
            <wp:extent cx="620201" cy="849550"/>
            <wp:effectExtent l="0" t="0" r="889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12" cy="85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72C" w:rsidRPr="00D40904" w:rsidRDefault="0041772C" w:rsidP="005C1A01">
      <w:pPr>
        <w:jc w:val="both"/>
      </w:pPr>
    </w:p>
    <w:p w:rsidR="0041772C" w:rsidRPr="00D40904" w:rsidRDefault="0041772C" w:rsidP="005C1A01">
      <w:pPr>
        <w:jc w:val="both"/>
      </w:pPr>
    </w:p>
    <w:p w:rsidR="0041772C" w:rsidRPr="00477337" w:rsidRDefault="0041772C" w:rsidP="005C1A01">
      <w:pPr>
        <w:jc w:val="both"/>
      </w:pPr>
    </w:p>
    <w:p w:rsidR="00195478" w:rsidRDefault="00195478" w:rsidP="00774B46">
      <w:pPr>
        <w:spacing w:line="360" w:lineRule="auto"/>
        <w:jc w:val="center"/>
        <w:outlineLvl w:val="0"/>
      </w:pPr>
    </w:p>
    <w:p w:rsidR="0041772C" w:rsidRPr="00477337" w:rsidRDefault="0041772C" w:rsidP="00774B46">
      <w:pPr>
        <w:spacing w:line="360" w:lineRule="auto"/>
        <w:jc w:val="center"/>
        <w:outlineLvl w:val="0"/>
      </w:pPr>
      <w:r w:rsidRPr="00477337">
        <w:t>Республика Карелия</w:t>
      </w:r>
    </w:p>
    <w:p w:rsidR="0041772C" w:rsidRDefault="0041772C" w:rsidP="008A060B">
      <w:pPr>
        <w:spacing w:line="360" w:lineRule="auto"/>
        <w:jc w:val="center"/>
        <w:outlineLvl w:val="0"/>
      </w:pPr>
      <w:proofErr w:type="spellStart"/>
      <w:r>
        <w:rPr>
          <w:lang w:val="en-US"/>
        </w:rPr>
        <w:t>Karjalan</w:t>
      </w:r>
      <w:proofErr w:type="spellEnd"/>
      <w:r w:rsidRPr="002728D5">
        <w:t xml:space="preserve"> </w:t>
      </w:r>
      <w:proofErr w:type="spellStart"/>
      <w:r>
        <w:rPr>
          <w:lang w:val="en-US"/>
        </w:rPr>
        <w:t>Tasavalta</w:t>
      </w:r>
      <w:proofErr w:type="spellEnd"/>
    </w:p>
    <w:p w:rsidR="0041772C" w:rsidRDefault="0041772C" w:rsidP="008A060B">
      <w:pPr>
        <w:spacing w:line="360" w:lineRule="auto"/>
        <w:jc w:val="center"/>
        <w:outlineLvl w:val="0"/>
      </w:pPr>
      <w:r>
        <w:t xml:space="preserve">СОВЕТ ОЛОНЕЦКОГО НАЦИОНАЛЬНОГО </w:t>
      </w:r>
      <w:proofErr w:type="gramStart"/>
      <w:r>
        <w:t>МУНИЦИПАЛЬНОГО  РАЙОНА</w:t>
      </w:r>
      <w:proofErr w:type="gramEnd"/>
    </w:p>
    <w:p w:rsidR="0041772C" w:rsidRPr="00C65A8E" w:rsidRDefault="0041772C" w:rsidP="00195478">
      <w:pPr>
        <w:jc w:val="center"/>
        <w:outlineLvl w:val="0"/>
        <w:rPr>
          <w:sz w:val="20"/>
          <w:szCs w:val="20"/>
          <w:lang w:val="en-US"/>
        </w:rPr>
      </w:pPr>
      <w:proofErr w:type="spellStart"/>
      <w:r w:rsidRPr="00730704">
        <w:rPr>
          <w:sz w:val="20"/>
          <w:szCs w:val="20"/>
          <w:lang w:val="en-US"/>
        </w:rPr>
        <w:t>Aunuksen</w:t>
      </w:r>
      <w:proofErr w:type="spellEnd"/>
      <w:r w:rsidRPr="00C65A8E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piirineuvosto</w:t>
      </w:r>
      <w:proofErr w:type="spellEnd"/>
      <w:r w:rsidRPr="00C65A8E">
        <w:rPr>
          <w:sz w:val="20"/>
          <w:szCs w:val="20"/>
          <w:lang w:val="en-US"/>
        </w:rPr>
        <w:t xml:space="preserve"> –</w:t>
      </w:r>
    </w:p>
    <w:p w:rsidR="0041772C" w:rsidRPr="00730704" w:rsidRDefault="0041772C" w:rsidP="00195478">
      <w:pPr>
        <w:jc w:val="center"/>
        <w:rPr>
          <w:sz w:val="20"/>
          <w:szCs w:val="20"/>
          <w:lang w:val="en-US"/>
        </w:rPr>
      </w:pPr>
      <w:proofErr w:type="spellStart"/>
      <w:proofErr w:type="gramStart"/>
      <w:r w:rsidRPr="00730704">
        <w:rPr>
          <w:sz w:val="20"/>
          <w:szCs w:val="20"/>
          <w:lang w:val="en-US"/>
        </w:rPr>
        <w:t>piirin</w:t>
      </w:r>
      <w:proofErr w:type="spellEnd"/>
      <w:proofErr w:type="gram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paikallisen</w:t>
      </w:r>
      <w:proofErr w:type="spell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itsehallinnon</w:t>
      </w:r>
      <w:proofErr w:type="spellEnd"/>
    </w:p>
    <w:p w:rsidR="0041772C" w:rsidRPr="006A0CE2" w:rsidRDefault="0041772C" w:rsidP="00195478">
      <w:pPr>
        <w:jc w:val="center"/>
        <w:rPr>
          <w:sz w:val="20"/>
          <w:szCs w:val="20"/>
          <w:lang w:val="en-US"/>
        </w:rPr>
      </w:pPr>
      <w:proofErr w:type="spellStart"/>
      <w:r w:rsidRPr="00730704">
        <w:rPr>
          <w:sz w:val="20"/>
          <w:szCs w:val="20"/>
          <w:lang w:val="en-US"/>
        </w:rPr>
        <w:t>Edustava</w:t>
      </w:r>
      <w:proofErr w:type="spellEnd"/>
      <w:r w:rsidRPr="006A0CE2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elin</w:t>
      </w:r>
      <w:proofErr w:type="spellEnd"/>
    </w:p>
    <w:p w:rsidR="0041772C" w:rsidRPr="006A0CE2" w:rsidRDefault="0041772C" w:rsidP="001D7B15">
      <w:pPr>
        <w:jc w:val="center"/>
        <w:rPr>
          <w:sz w:val="16"/>
          <w:szCs w:val="16"/>
          <w:lang w:val="en-US"/>
        </w:rPr>
      </w:pPr>
    </w:p>
    <w:p w:rsidR="0041772C" w:rsidRPr="00C65A8E" w:rsidRDefault="0041772C" w:rsidP="007A09F8">
      <w:pPr>
        <w:jc w:val="center"/>
        <w:outlineLvl w:val="0"/>
      </w:pPr>
      <w:r w:rsidRPr="007A09F8">
        <w:t>РЕШЕНИ</w:t>
      </w:r>
      <w:r w:rsidR="007A09F8" w:rsidRPr="007A09F8">
        <w:t>Е</w:t>
      </w:r>
    </w:p>
    <w:p w:rsidR="0041772C" w:rsidRPr="00C65A8E" w:rsidRDefault="0041772C" w:rsidP="00195478">
      <w:pPr>
        <w:contextualSpacing/>
        <w:jc w:val="both"/>
        <w:rPr>
          <w:sz w:val="28"/>
          <w:szCs w:val="28"/>
        </w:rPr>
      </w:pPr>
    </w:p>
    <w:p w:rsidR="0041772C" w:rsidRPr="00195478" w:rsidRDefault="0041772C" w:rsidP="00195478">
      <w:pPr>
        <w:contextualSpacing/>
        <w:jc w:val="both"/>
      </w:pPr>
      <w:r w:rsidRPr="00195478">
        <w:t xml:space="preserve">от </w:t>
      </w:r>
      <w:r w:rsidR="00C65A8E">
        <w:t>27 августа</w:t>
      </w:r>
      <w:r w:rsidR="005040A3" w:rsidRPr="00195478">
        <w:t xml:space="preserve"> </w:t>
      </w:r>
      <w:r w:rsidR="00342F63" w:rsidRPr="00195478">
        <w:t>20</w:t>
      </w:r>
      <w:r w:rsidR="00514BE9" w:rsidRPr="00195478">
        <w:t>2</w:t>
      </w:r>
      <w:r w:rsidR="00E85575" w:rsidRPr="00195478">
        <w:t>5</w:t>
      </w:r>
      <w:r w:rsidRPr="00195478">
        <w:t xml:space="preserve"> г</w:t>
      </w:r>
      <w:r w:rsidR="007836D8" w:rsidRPr="00195478">
        <w:t>ода</w:t>
      </w:r>
      <w:r w:rsidRPr="00195478">
        <w:t xml:space="preserve"> </w:t>
      </w:r>
      <w:r w:rsidR="007A09F8" w:rsidRPr="00195478">
        <w:t xml:space="preserve">          </w:t>
      </w:r>
      <w:r w:rsidR="00C65A8E">
        <w:t xml:space="preserve">              </w:t>
      </w:r>
      <w:r w:rsidRPr="00195478">
        <w:t>№</w:t>
      </w:r>
      <w:r w:rsidR="00342F63" w:rsidRPr="00195478">
        <w:t xml:space="preserve"> </w:t>
      </w:r>
      <w:r w:rsidR="00C65A8E">
        <w:t>53</w:t>
      </w:r>
    </w:p>
    <w:p w:rsidR="007A09F8" w:rsidRPr="00195478" w:rsidRDefault="007A09F8" w:rsidP="00195478">
      <w:pPr>
        <w:contextualSpacing/>
        <w:jc w:val="both"/>
      </w:pPr>
    </w:p>
    <w:p w:rsidR="00584601" w:rsidRPr="00195478" w:rsidRDefault="00584601" w:rsidP="00195478">
      <w:pPr>
        <w:contextualSpacing/>
        <w:jc w:val="both"/>
      </w:pPr>
    </w:p>
    <w:p w:rsidR="006A0CE2" w:rsidRDefault="006A0CE2" w:rsidP="006A0CE2">
      <w:pPr>
        <w:ind w:right="4820"/>
        <w:jc w:val="both"/>
      </w:pPr>
      <w:r w:rsidRPr="006A0CE2">
        <w:t xml:space="preserve">Об утверждении Положения о межбюджетных отношениях в </w:t>
      </w:r>
      <w:proofErr w:type="spellStart"/>
      <w:r w:rsidRPr="006A0CE2">
        <w:t>Олонецком</w:t>
      </w:r>
      <w:proofErr w:type="spellEnd"/>
      <w:r w:rsidRPr="006A0CE2">
        <w:t xml:space="preserve"> национальном муниципальном районе</w:t>
      </w:r>
    </w:p>
    <w:p w:rsidR="006A0CE2" w:rsidRPr="006A0CE2" w:rsidRDefault="006A0CE2" w:rsidP="006A0CE2">
      <w:pPr>
        <w:ind w:right="4820"/>
        <w:jc w:val="both"/>
      </w:pPr>
    </w:p>
    <w:p w:rsidR="006A0CE2" w:rsidRPr="006A0CE2" w:rsidRDefault="006A0CE2" w:rsidP="006A0CE2">
      <w:pPr>
        <w:suppressAutoHyphens/>
        <w:ind w:firstLine="709"/>
        <w:jc w:val="center"/>
        <w:rPr>
          <w:lang w:eastAsia="ar-SA"/>
        </w:rPr>
      </w:pPr>
    </w:p>
    <w:p w:rsidR="006A0CE2" w:rsidRPr="006A0CE2" w:rsidRDefault="006A0CE2" w:rsidP="006A0CE2">
      <w:pPr>
        <w:suppressAutoHyphens/>
        <w:ind w:firstLine="709"/>
        <w:jc w:val="both"/>
        <w:rPr>
          <w:lang w:eastAsia="ar-SA"/>
        </w:rPr>
      </w:pPr>
      <w:r w:rsidRPr="006A0CE2"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Карелия от 1 ноября 2005 года № 915-ЗРК «О межбюджетных отношениях в Республике Карелия», Уставом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Республики Карелия, </w:t>
      </w:r>
    </w:p>
    <w:p w:rsidR="006A0CE2" w:rsidRPr="006A0CE2" w:rsidRDefault="006A0CE2" w:rsidP="006A0CE2">
      <w:pPr>
        <w:suppressAutoHyphens/>
        <w:ind w:firstLine="709"/>
        <w:jc w:val="center"/>
        <w:rPr>
          <w:lang w:eastAsia="ar-SA"/>
        </w:rPr>
      </w:pPr>
    </w:p>
    <w:p w:rsidR="006A0CE2" w:rsidRPr="006A0CE2" w:rsidRDefault="006A0CE2" w:rsidP="006A0CE2">
      <w:pPr>
        <w:suppressAutoHyphens/>
        <w:ind w:firstLine="708"/>
        <w:rPr>
          <w:lang w:eastAsia="ar-SA"/>
        </w:rPr>
      </w:pPr>
      <w:r w:rsidRPr="006A0CE2">
        <w:rPr>
          <w:lang w:eastAsia="ar-SA"/>
        </w:rPr>
        <w:t xml:space="preserve">Совет </w:t>
      </w:r>
      <w:proofErr w:type="spellStart"/>
      <w:r w:rsidRPr="006A0CE2">
        <w:rPr>
          <w:lang w:eastAsia="ar-SA"/>
        </w:rPr>
        <w:t>Олонецкого</w:t>
      </w:r>
      <w:proofErr w:type="spellEnd"/>
      <w:r w:rsidRPr="006A0CE2">
        <w:rPr>
          <w:lang w:eastAsia="ar-SA"/>
        </w:rPr>
        <w:t xml:space="preserve"> национального муниципального района</w:t>
      </w:r>
      <w:r>
        <w:rPr>
          <w:lang w:eastAsia="ar-SA"/>
        </w:rPr>
        <w:t xml:space="preserve"> решил:</w:t>
      </w:r>
    </w:p>
    <w:p w:rsidR="006A0CE2" w:rsidRPr="006A0CE2" w:rsidRDefault="006A0CE2" w:rsidP="006A0CE2">
      <w:pPr>
        <w:suppressAutoHyphens/>
        <w:ind w:firstLine="709"/>
        <w:jc w:val="center"/>
        <w:rPr>
          <w:lang w:eastAsia="ar-SA"/>
        </w:rPr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1. Утвердить прилагаемое Положение о межбюджетных отношениях в </w:t>
      </w:r>
      <w:proofErr w:type="spellStart"/>
      <w:r w:rsidRPr="006A0CE2">
        <w:t>Олонецком</w:t>
      </w:r>
      <w:proofErr w:type="spellEnd"/>
      <w:r w:rsidRPr="006A0CE2">
        <w:t xml:space="preserve"> национальном муниципальном районе.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2.  Со дня вступления в силу настоящего Решения признать утратившими силу: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- Решение Совета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</w:t>
      </w:r>
      <w:r>
        <w:t xml:space="preserve">ипального района от 28.09.2016 </w:t>
      </w:r>
      <w:r w:rsidRPr="006A0CE2">
        <w:t xml:space="preserve">№ 61 «Об утверждении Положения о межбюджетных отношениях в </w:t>
      </w:r>
      <w:proofErr w:type="spellStart"/>
      <w:r w:rsidRPr="006A0CE2">
        <w:t>Олонецком</w:t>
      </w:r>
      <w:proofErr w:type="spellEnd"/>
      <w:r w:rsidRPr="006A0CE2">
        <w:t xml:space="preserve"> национальном муниципальном районе».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3. Настоящее решение вступает в силу со дня официального опубликования.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4. Разместить на официальном сайте администрации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в сети «Интернет».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5. Контроль за исполнением настоящего решения возложить на начальника Финансового управления администрации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района.</w:t>
      </w:r>
    </w:p>
    <w:p w:rsidR="007A09F8" w:rsidRPr="006A0CE2" w:rsidRDefault="007A09F8" w:rsidP="006A0CE2">
      <w:pPr>
        <w:ind w:firstLine="709"/>
        <w:contextualSpacing/>
        <w:jc w:val="both"/>
      </w:pPr>
    </w:p>
    <w:p w:rsidR="00195478" w:rsidRPr="006A0CE2" w:rsidRDefault="00195478" w:rsidP="006A0CE2">
      <w:pPr>
        <w:ind w:firstLine="709"/>
        <w:contextualSpacing/>
        <w:jc w:val="both"/>
      </w:pPr>
    </w:p>
    <w:p w:rsidR="00195478" w:rsidRPr="006A0CE2" w:rsidRDefault="00195478" w:rsidP="006A0CE2">
      <w:pPr>
        <w:ind w:firstLine="709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9"/>
      </w:tblGrid>
      <w:tr w:rsidR="00195478" w:rsidRPr="006A0CE2" w:rsidTr="00626768">
        <w:trPr>
          <w:trHeight w:val="80"/>
        </w:trPr>
        <w:tc>
          <w:tcPr>
            <w:tcW w:w="4785" w:type="dxa"/>
            <w:hideMark/>
          </w:tcPr>
          <w:p w:rsidR="00195478" w:rsidRPr="006A0CE2" w:rsidRDefault="00195478" w:rsidP="006A0CE2">
            <w:pPr>
              <w:widowControl w:val="0"/>
              <w:tabs>
                <w:tab w:val="left" w:pos="7655"/>
              </w:tabs>
              <w:ind w:firstLine="709"/>
              <w:jc w:val="both"/>
            </w:pPr>
            <w:r w:rsidRPr="006A0CE2">
              <w:t xml:space="preserve">Глава </w:t>
            </w:r>
            <w:proofErr w:type="spellStart"/>
            <w:r w:rsidRPr="006A0CE2">
              <w:t>Олонецкого</w:t>
            </w:r>
            <w:proofErr w:type="spellEnd"/>
            <w:r w:rsidRPr="006A0CE2">
              <w:t xml:space="preserve"> национального муниципального района</w:t>
            </w:r>
          </w:p>
        </w:tc>
        <w:tc>
          <w:tcPr>
            <w:tcW w:w="4785" w:type="dxa"/>
          </w:tcPr>
          <w:p w:rsidR="00195478" w:rsidRPr="006A0CE2" w:rsidRDefault="00195478" w:rsidP="006A0CE2">
            <w:pPr>
              <w:widowControl w:val="0"/>
              <w:tabs>
                <w:tab w:val="left" w:pos="7655"/>
              </w:tabs>
              <w:ind w:firstLine="709"/>
              <w:jc w:val="right"/>
            </w:pPr>
          </w:p>
          <w:p w:rsidR="00195478" w:rsidRPr="006A0CE2" w:rsidRDefault="00195478" w:rsidP="006A0CE2">
            <w:pPr>
              <w:widowControl w:val="0"/>
              <w:tabs>
                <w:tab w:val="left" w:pos="7655"/>
              </w:tabs>
              <w:ind w:firstLine="709"/>
              <w:jc w:val="right"/>
            </w:pPr>
            <w:r w:rsidRPr="006A0CE2">
              <w:t xml:space="preserve">В.Н. </w:t>
            </w:r>
            <w:proofErr w:type="spellStart"/>
            <w:r w:rsidRPr="006A0CE2">
              <w:t>Мурый</w:t>
            </w:r>
            <w:proofErr w:type="spellEnd"/>
          </w:p>
        </w:tc>
      </w:tr>
    </w:tbl>
    <w:p w:rsidR="00195478" w:rsidRPr="006A0CE2" w:rsidRDefault="00195478" w:rsidP="006A0CE2">
      <w:pPr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1"/>
      </w:tblGrid>
      <w:tr w:rsidR="00195478" w:rsidRPr="006A0CE2" w:rsidTr="00626768">
        <w:trPr>
          <w:trHeight w:val="80"/>
        </w:trPr>
        <w:tc>
          <w:tcPr>
            <w:tcW w:w="4785" w:type="dxa"/>
            <w:hideMark/>
          </w:tcPr>
          <w:p w:rsidR="00195478" w:rsidRPr="006A0CE2" w:rsidRDefault="00195478" w:rsidP="006A0CE2">
            <w:pPr>
              <w:ind w:firstLine="709"/>
              <w:contextualSpacing/>
              <w:jc w:val="both"/>
            </w:pPr>
            <w:r w:rsidRPr="006A0CE2">
              <w:t xml:space="preserve">Председатель Совета </w:t>
            </w:r>
            <w:proofErr w:type="spellStart"/>
            <w:r w:rsidRPr="006A0CE2">
              <w:t>Олонецкого</w:t>
            </w:r>
            <w:proofErr w:type="spellEnd"/>
            <w:r w:rsidRPr="006A0CE2">
              <w:t xml:space="preserve"> национального муниципального района</w:t>
            </w:r>
          </w:p>
        </w:tc>
        <w:tc>
          <w:tcPr>
            <w:tcW w:w="4785" w:type="dxa"/>
          </w:tcPr>
          <w:p w:rsidR="00195478" w:rsidRPr="006A0CE2" w:rsidRDefault="00195478" w:rsidP="006A0CE2">
            <w:pPr>
              <w:widowControl w:val="0"/>
              <w:tabs>
                <w:tab w:val="left" w:pos="7655"/>
              </w:tabs>
              <w:ind w:firstLine="709"/>
              <w:jc w:val="right"/>
            </w:pPr>
          </w:p>
          <w:p w:rsidR="00195478" w:rsidRPr="006A0CE2" w:rsidRDefault="00195478" w:rsidP="006A0CE2">
            <w:pPr>
              <w:widowControl w:val="0"/>
              <w:tabs>
                <w:tab w:val="left" w:pos="7655"/>
              </w:tabs>
              <w:ind w:firstLine="709"/>
              <w:jc w:val="right"/>
            </w:pPr>
            <w:r w:rsidRPr="006A0CE2">
              <w:t xml:space="preserve">И.И. </w:t>
            </w:r>
            <w:proofErr w:type="spellStart"/>
            <w:r w:rsidRPr="006A0CE2">
              <w:t>Аутио</w:t>
            </w:r>
            <w:proofErr w:type="spellEnd"/>
          </w:p>
        </w:tc>
      </w:tr>
    </w:tbl>
    <w:p w:rsidR="00C65A8E" w:rsidRDefault="00C65A8E" w:rsidP="006A0CE2">
      <w:pPr>
        <w:ind w:firstLine="709"/>
        <w:jc w:val="right"/>
      </w:pPr>
    </w:p>
    <w:p w:rsidR="006A0CE2" w:rsidRPr="006A0CE2" w:rsidRDefault="006A0CE2" w:rsidP="006A0CE2">
      <w:pPr>
        <w:ind w:firstLine="709"/>
        <w:jc w:val="right"/>
      </w:pPr>
      <w:r w:rsidRPr="006A0CE2">
        <w:lastRenderedPageBreak/>
        <w:t xml:space="preserve">Утверждено </w:t>
      </w:r>
    </w:p>
    <w:p w:rsidR="006A0CE2" w:rsidRPr="006A0CE2" w:rsidRDefault="006A0CE2" w:rsidP="006A0CE2">
      <w:pPr>
        <w:ind w:firstLine="709"/>
        <w:jc w:val="right"/>
      </w:pPr>
      <w:r w:rsidRPr="006A0CE2">
        <w:t xml:space="preserve">                                                                        Решением Совета </w:t>
      </w:r>
    </w:p>
    <w:p w:rsidR="006A0CE2" w:rsidRPr="006A0CE2" w:rsidRDefault="006A0CE2" w:rsidP="006A0CE2">
      <w:pPr>
        <w:ind w:firstLine="709"/>
        <w:jc w:val="right"/>
      </w:pPr>
      <w:r w:rsidRPr="006A0CE2">
        <w:t xml:space="preserve">                                                                        </w:t>
      </w:r>
      <w:proofErr w:type="spellStart"/>
      <w:r w:rsidRPr="006A0CE2">
        <w:t>Олонецкого</w:t>
      </w:r>
      <w:proofErr w:type="spellEnd"/>
      <w:r w:rsidRPr="006A0CE2">
        <w:t xml:space="preserve"> национального</w:t>
      </w:r>
    </w:p>
    <w:p w:rsidR="006A0CE2" w:rsidRPr="006A0CE2" w:rsidRDefault="006A0CE2" w:rsidP="006A0CE2">
      <w:pPr>
        <w:ind w:firstLine="709"/>
        <w:jc w:val="right"/>
      </w:pPr>
      <w:r w:rsidRPr="006A0CE2">
        <w:t xml:space="preserve">                                                                        муниципального района </w:t>
      </w:r>
    </w:p>
    <w:p w:rsidR="006A0CE2" w:rsidRPr="006A0CE2" w:rsidRDefault="006A0CE2" w:rsidP="006A0CE2">
      <w:pPr>
        <w:ind w:firstLine="709"/>
        <w:jc w:val="right"/>
      </w:pPr>
      <w:r w:rsidRPr="006A0CE2">
        <w:t xml:space="preserve">                                                                        от </w:t>
      </w:r>
      <w:r w:rsidR="00C65A8E">
        <w:t>27.08.</w:t>
      </w:r>
      <w:r w:rsidRPr="006A0CE2">
        <w:t>2025 №</w:t>
      </w:r>
      <w:r w:rsidR="00C65A8E">
        <w:t xml:space="preserve"> 53</w:t>
      </w:r>
      <w:bookmarkStart w:id="0" w:name="_GoBack"/>
      <w:bookmarkEnd w:id="0"/>
      <w:r w:rsidRPr="006A0CE2">
        <w:t xml:space="preserve"> </w:t>
      </w:r>
    </w:p>
    <w:p w:rsidR="006A0CE2" w:rsidRPr="006A0CE2" w:rsidRDefault="006A0CE2" w:rsidP="006A0CE2">
      <w:pPr>
        <w:ind w:firstLine="709"/>
        <w:jc w:val="right"/>
      </w:pPr>
    </w:p>
    <w:p w:rsidR="006A0CE2" w:rsidRPr="006A0CE2" w:rsidRDefault="006A0CE2" w:rsidP="006A0CE2">
      <w:pPr>
        <w:ind w:firstLine="709"/>
        <w:jc w:val="both"/>
        <w:rPr>
          <w:b/>
          <w:bCs/>
        </w:rPr>
      </w:pPr>
    </w:p>
    <w:p w:rsidR="006A0CE2" w:rsidRPr="006A0CE2" w:rsidRDefault="006A0CE2" w:rsidP="006A0CE2">
      <w:pPr>
        <w:ind w:firstLine="709"/>
        <w:jc w:val="center"/>
        <w:rPr>
          <w:b/>
          <w:bCs/>
        </w:rPr>
      </w:pPr>
      <w:r w:rsidRPr="006A0CE2">
        <w:rPr>
          <w:b/>
          <w:bCs/>
        </w:rPr>
        <w:t>ПОЛОЖЕНИЕ</w:t>
      </w:r>
    </w:p>
    <w:p w:rsidR="006A0CE2" w:rsidRPr="006A0CE2" w:rsidRDefault="006A0CE2" w:rsidP="006A0CE2">
      <w:pPr>
        <w:ind w:firstLine="709"/>
        <w:jc w:val="center"/>
        <w:rPr>
          <w:b/>
          <w:bCs/>
        </w:rPr>
      </w:pPr>
      <w:r w:rsidRPr="006A0CE2">
        <w:rPr>
          <w:b/>
          <w:bCs/>
        </w:rPr>
        <w:t xml:space="preserve">О МЕЖБЮДЖЕТНЫХ ОТНОШЕНИЯХ </w:t>
      </w:r>
    </w:p>
    <w:p w:rsidR="006A0CE2" w:rsidRPr="006A0CE2" w:rsidRDefault="006A0CE2" w:rsidP="006A0CE2">
      <w:pPr>
        <w:ind w:firstLine="709"/>
        <w:jc w:val="center"/>
        <w:rPr>
          <w:b/>
          <w:bCs/>
        </w:rPr>
      </w:pPr>
      <w:r w:rsidRPr="006A0CE2">
        <w:rPr>
          <w:b/>
          <w:bCs/>
        </w:rPr>
        <w:t>В ОЛОНЕЦКОМ НАЦИОНАЛЬНОМ МУНИЦИПАЛЬНОМ РАЙОНЕ</w:t>
      </w:r>
    </w:p>
    <w:p w:rsidR="006A0CE2" w:rsidRPr="006A0CE2" w:rsidRDefault="006A0CE2" w:rsidP="006A0CE2">
      <w:pPr>
        <w:ind w:firstLine="709"/>
        <w:jc w:val="both"/>
        <w:rPr>
          <w:b/>
          <w:bCs/>
        </w:rPr>
      </w:pPr>
      <w:r w:rsidRPr="006A0CE2">
        <w:rPr>
          <w:b/>
          <w:bCs/>
        </w:rPr>
        <w:t xml:space="preserve"> </w:t>
      </w:r>
    </w:p>
    <w:p w:rsidR="006A0CE2" w:rsidRPr="006A0CE2" w:rsidRDefault="006A0CE2" w:rsidP="006A0CE2">
      <w:pPr>
        <w:ind w:firstLine="709"/>
        <w:jc w:val="both"/>
        <w:rPr>
          <w:b/>
          <w:bCs/>
        </w:rPr>
      </w:pPr>
    </w:p>
    <w:p w:rsidR="006A0CE2" w:rsidRPr="006A0CE2" w:rsidRDefault="006A0CE2" w:rsidP="006A0CE2">
      <w:pPr>
        <w:ind w:firstLine="709"/>
        <w:jc w:val="both"/>
        <w:rPr>
          <w:b/>
        </w:rPr>
      </w:pPr>
      <w:r w:rsidRPr="006A0CE2">
        <w:rPr>
          <w:b/>
        </w:rPr>
        <w:t>Статья 1. Правовая основа межбюджетных отношений</w:t>
      </w:r>
    </w:p>
    <w:p w:rsidR="006A0CE2" w:rsidRPr="006A0CE2" w:rsidRDefault="006A0CE2" w:rsidP="006A0CE2">
      <w:pPr>
        <w:ind w:firstLine="709"/>
        <w:jc w:val="both"/>
      </w:pPr>
    </w:p>
    <w:p w:rsidR="006A0CE2" w:rsidRPr="006A0CE2" w:rsidRDefault="006A0CE2" w:rsidP="006A0CE2">
      <w:pPr>
        <w:ind w:firstLine="709"/>
        <w:jc w:val="both"/>
      </w:pPr>
      <w:r w:rsidRPr="006A0CE2">
        <w:t xml:space="preserve">1. Правовую основу межбюджетных отношений в </w:t>
      </w:r>
      <w:proofErr w:type="spellStart"/>
      <w:r w:rsidRPr="006A0CE2">
        <w:t>Олонецком</w:t>
      </w:r>
      <w:proofErr w:type="spellEnd"/>
      <w:r w:rsidRPr="006A0CE2">
        <w:t xml:space="preserve"> национальном муниципальном районе составляют Конституция Российской Федерации, Бюджетный кодекс Российской Федерации (далее – Бюджетный кодекс), федеральные законы и иные нормативно-правовые акты Российской Федерации, Конституция Республики Карелия, Закон Республики Карелия от 1 ноября 2005 года № 915-ЗРК «О межбюджетных отношениях в Республике Карелия» (далее – Закон о межбюджетных отношениях в Республике Карелия) и иные нормативно-правовые акты Республики Карелия, Устав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района, настоящее Положение и иные муниципальные нормативно-правовые акты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района.</w:t>
      </w:r>
    </w:p>
    <w:p w:rsidR="006A0CE2" w:rsidRPr="006A0CE2" w:rsidRDefault="006A0CE2" w:rsidP="006A0CE2">
      <w:pPr>
        <w:ind w:firstLine="709"/>
        <w:jc w:val="both"/>
      </w:pPr>
      <w:r w:rsidRPr="006A0CE2">
        <w:t xml:space="preserve">2. Муниципальные нормативно-правовые акты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района, регулирующие межбюджетные отношения, должны соответствовать федеральному, республиканскому законодательству и настоящему Положению. В случае противоречия настоящему Положению иного муниципального нормативно-правового акта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в части межбюджетных отношений применяется настоящее Положение.</w:t>
      </w:r>
    </w:p>
    <w:p w:rsidR="006A0CE2" w:rsidRPr="006A0CE2" w:rsidRDefault="006A0CE2" w:rsidP="006A0CE2">
      <w:pPr>
        <w:ind w:firstLine="709"/>
        <w:jc w:val="both"/>
      </w:pPr>
    </w:p>
    <w:p w:rsidR="006A0CE2" w:rsidRPr="006A0CE2" w:rsidRDefault="006A0CE2" w:rsidP="006A0CE2">
      <w:pPr>
        <w:ind w:firstLine="709"/>
        <w:jc w:val="both"/>
        <w:rPr>
          <w:b/>
        </w:rPr>
      </w:pPr>
      <w:r w:rsidRPr="006A0CE2">
        <w:rPr>
          <w:b/>
        </w:rPr>
        <w:t>Статья 2. Формы межбюджетных трансфертов</w:t>
      </w:r>
    </w:p>
    <w:p w:rsidR="006A0CE2" w:rsidRPr="006A0CE2" w:rsidRDefault="006A0CE2" w:rsidP="006A0CE2">
      <w:pPr>
        <w:ind w:firstLine="709"/>
        <w:jc w:val="both"/>
        <w:rPr>
          <w:b/>
        </w:rPr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Межбюджетные трансферты из бюджета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(далее – бюджет района) в соответствии с Бюджетным </w:t>
      </w:r>
      <w:hyperlink r:id="rId9" w:history="1">
        <w:r w:rsidRPr="006A0CE2">
          <w:t>кодексом</w:t>
        </w:r>
      </w:hyperlink>
      <w:r w:rsidRPr="006A0CE2">
        <w:t>, Законом о межбюджетных отношениях в Республике Карелия предоставляются в форме: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- дотаций из бюджета района на выравнивание бюджетной обеспеченности поселений;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- субвенций из бюджета района бюджетам городских, сельских поселений в случаях, установленных </w:t>
      </w:r>
      <w:hyperlink r:id="rId10" w:history="1">
        <w:r w:rsidRPr="006A0CE2">
          <w:t>статьями 133</w:t>
        </w:r>
      </w:hyperlink>
      <w:r w:rsidRPr="006A0CE2">
        <w:t xml:space="preserve"> и </w:t>
      </w:r>
      <w:hyperlink r:id="rId11" w:history="1">
        <w:r w:rsidRPr="006A0CE2">
          <w:t>140</w:t>
        </w:r>
      </w:hyperlink>
      <w:r w:rsidRPr="006A0CE2">
        <w:t xml:space="preserve"> Бюджетного кодекса Российской Федерации;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- субсидий бюджетам муниципальных образований;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- иных межбюджетных трансфертов.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</w:rPr>
      </w:pPr>
      <w:r w:rsidRPr="006A0CE2">
        <w:rPr>
          <w:b/>
          <w:color w:val="000000" w:themeColor="text1"/>
        </w:rPr>
        <w:t xml:space="preserve">Статья 3. </w:t>
      </w:r>
      <w:r w:rsidRPr="006A0CE2">
        <w:rPr>
          <w:b/>
          <w:bCs/>
        </w:rPr>
        <w:t xml:space="preserve">Порядок предоставления и перечисления межбюджетных трансфертов из бюджета </w:t>
      </w:r>
      <w:r w:rsidRPr="006A0CE2">
        <w:rPr>
          <w:b/>
          <w:color w:val="000000" w:themeColor="text1"/>
        </w:rPr>
        <w:t>района</w:t>
      </w:r>
    </w:p>
    <w:p w:rsidR="006A0CE2" w:rsidRPr="006A0CE2" w:rsidRDefault="006A0CE2" w:rsidP="006A0CE2">
      <w:pPr>
        <w:ind w:firstLine="709"/>
        <w:jc w:val="both"/>
        <w:rPr>
          <w:b/>
          <w:color w:val="000000" w:themeColor="text1"/>
        </w:rPr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bookmarkStart w:id="1" w:name="Par0"/>
      <w:bookmarkEnd w:id="1"/>
      <w:r w:rsidRPr="006A0CE2">
        <w:t xml:space="preserve">1. Поселения, в бюджетах которых доля дотаций из бюджета района в течение двух из трех последних отчетных финансовых лет превышала 5 процентов доходов местного бюджета поселения,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поселениями, начиная с очередного финансового года не имеют права превышать установленные Правительством </w:t>
      </w:r>
      <w:r w:rsidRPr="006A0CE2">
        <w:lastRenderedPageBreak/>
        <w:t>Республики Карелия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2. Поселения, в бюджетах которых доля дотаций из бюджета района в течение двух из трех последних отчетных финансовых лет превышала 20 процентов доходов местного бюджета поселения,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поселениями, начиная с очередного финансового года не имеют права устанавливать и исполнять расходные обязательства, не связанные с решением вопросов, отнесенных </w:t>
      </w:r>
      <w:hyperlink r:id="rId12" w:history="1">
        <w:r w:rsidRPr="006A0CE2">
          <w:t>Конституцией</w:t>
        </w:r>
      </w:hyperlink>
      <w:r w:rsidRPr="006A0CE2">
        <w:t xml:space="preserve"> Российской Федерации, федеральными законами, законами Республики Карелия к полномочиям соответствующих органов местного самоуправления поселений.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bookmarkStart w:id="2" w:name="Par2"/>
      <w:bookmarkEnd w:id="2"/>
      <w:r w:rsidRPr="006A0CE2">
        <w:t xml:space="preserve">3. В поселениях, в бюджетах которых доля дотаций из бюджета района в течение двух из трех последних отчетных финансовых лет превышала 50 процентов доходов местного бюджета поселения,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поселениями, а также в поселениях, не имеющих годовой отчетности об исполнении местного бюджета за один год и более из трех последних отчетных финансовых лет, начиная с очередного финансового года осуществляются дополнительные к установленным частями 1 и 2 настоящей статьи меры, обеспечивающие повышение эффективности использования бюджетных средств и увеличение поступлений налоговых и неналоговых доходов бюджетов поселений, определяемые администрацией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4. В случае преобразования поселений путем объединения двух и более поселений для расчета доли дотаций и (или) налоговых доходов в доходах местных бюджетов в целях оценки необходимости применения ограничений для преобразованного поселения в соответствии с </w:t>
      </w:r>
      <w:hyperlink w:anchor="Par0" w:history="1">
        <w:r w:rsidRPr="006A0CE2">
          <w:t>частями 1</w:t>
        </w:r>
      </w:hyperlink>
      <w:r w:rsidRPr="006A0CE2">
        <w:t>-</w:t>
      </w:r>
      <w:hyperlink w:anchor="Par2" w:history="1">
        <w:r w:rsidRPr="006A0CE2">
          <w:t>3</w:t>
        </w:r>
      </w:hyperlink>
      <w:r w:rsidRPr="006A0CE2">
        <w:t xml:space="preserve"> настоящей статьи учитывается общий объем поступивших в бюджеты объединяемых поселений в течение трех последних отчетных финансовых лет: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1) дотаций из других бюджетов и (или) налоговых доходов по дополнительным нормативам отчислений от налога на доходы физических лиц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лиц;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2) доходов (за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поселениями), поступивших в бюджеты объединяемых поселений в течение трех последних отчетных финансовых лет.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rPr>
          <w:rFonts w:eastAsia="Calibri"/>
          <w:color w:val="000000" w:themeColor="text1"/>
        </w:rPr>
        <w:t xml:space="preserve">5. </w:t>
      </w:r>
      <w:r w:rsidRPr="006A0CE2">
        <w:t xml:space="preserve">Межбюджетные трансферты из бюджета района бюджетам городского и сельских поселений, входящим в состав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(далее – бюджеты поселений) перечисляются на единые счета бюджетов поселений, открытые в Управлении Федерального казначейства по Республике Карелия.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6. Межбюджетные трансферты из бюджета Республики Карелия бюджетам поселений, за исключением субсидий и иных межбюджетных трансфертов бюджетам поселений, источником финансового обеспечения которых являются субсидии и иные межбюджетные трансферты из федерального бюджета, предоставляются бюджету района для предоставления их бюджетам поселений, входящим в состав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7. Межбюджетные трансферты из бюджета района перечисляются в бюджеты поселений в соответствии со сводной бюджетной росписью бюджета района на текущий финансовый год и плановый период.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lastRenderedPageBreak/>
        <w:t xml:space="preserve">8. Распределение между бюджетами поселений межбюджетных трансфертов, источником финансового обеспечения которых являются средства бюджета Республики Карелия, осуществляется постановлением администрации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и (или) решением Совета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о бюджете, в случае отсутствия утвержденного </w:t>
      </w:r>
      <w:proofErr w:type="spellStart"/>
      <w:r w:rsidRPr="006A0CE2">
        <w:t>пообъектного</w:t>
      </w:r>
      <w:proofErr w:type="spellEnd"/>
      <w:r w:rsidRPr="006A0CE2">
        <w:t xml:space="preserve"> (поименного) перечня в нормативно правовом акте Республики Карелия.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Calibri"/>
          <w:b/>
        </w:rPr>
      </w:pPr>
      <w:r w:rsidRPr="006A0CE2">
        <w:rPr>
          <w:b/>
        </w:rPr>
        <w:t>Статья 4. Дотации на выравнивание бюджетной обеспеченности поселений из бюджета района</w:t>
      </w:r>
    </w:p>
    <w:p w:rsidR="006A0CE2" w:rsidRPr="006A0CE2" w:rsidRDefault="007535A2" w:rsidP="006A0CE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jc w:val="both"/>
      </w:pPr>
      <w:hyperlink r:id="rId13" w:history="1">
        <w:r w:rsidR="006A0CE2" w:rsidRPr="006A0CE2">
          <w:t>Дотации</w:t>
        </w:r>
      </w:hyperlink>
      <w:r w:rsidR="006A0CE2" w:rsidRPr="006A0CE2">
        <w:t xml:space="preserve"> на выравнивание бюджетной обеспеченности поселений из бюджета района предоставляются поселениям, входящим в состав </w:t>
      </w:r>
      <w:proofErr w:type="spellStart"/>
      <w:r w:rsidR="006A0CE2" w:rsidRPr="006A0CE2">
        <w:t>Олонецкого</w:t>
      </w:r>
      <w:proofErr w:type="spellEnd"/>
      <w:r w:rsidR="006A0CE2" w:rsidRPr="006A0CE2">
        <w:t xml:space="preserve"> национального муниципального района,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(или) бюджетной обеспеченности в соответствии с муниципальными правовыми актами представительного органа </w:t>
      </w:r>
      <w:proofErr w:type="spellStart"/>
      <w:r w:rsidR="006A0CE2" w:rsidRPr="006A0CE2">
        <w:t>Олонецкого</w:t>
      </w:r>
      <w:proofErr w:type="spellEnd"/>
      <w:r w:rsidR="006A0CE2" w:rsidRPr="006A0CE2">
        <w:t xml:space="preserve"> национального муниципального района, принимаемыми в соответствии с требованиями Бюджетного кодекса, соответствующими нормативными правовыми актами Республики Карелия и настоящего Положения.</w:t>
      </w: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</w:pPr>
      <w:r w:rsidRPr="006A0CE2">
        <w:t>Дотации на выравнивание бюджетной обеспеченности поселений из бюджета района образуют районный фонд финансовой поддержки поселений.</w:t>
      </w:r>
    </w:p>
    <w:p w:rsidR="006A0CE2" w:rsidRPr="006A0CE2" w:rsidRDefault="006A0CE2" w:rsidP="006A0CE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6A0CE2">
        <w:t>Объем дотаций на выравнивание бюджетной обеспеченности поселений из районного фонда финансовой поддержки поселений формируется за счет:</w:t>
      </w: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</w:pPr>
      <w:r w:rsidRPr="006A0CE2">
        <w:t xml:space="preserve">субвенций, передаваемых бюджету района из бюджета Республики Карелия на осуществление переданных ему государственных полномочий по расчету и предоставлению дотаций бюджетам городского и сельских поселений, входящих в состав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района;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дотаций (части дотаций) на выравнивание бюджетной обеспеченности муниципальных районов, передаваемых бюджету района из бюджета Республики Карелия;</w:t>
      </w: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</w:pPr>
      <w:r w:rsidRPr="006A0CE2">
        <w:t>собственных доходов и источников финансирования дефицита бюджета района, направляемых на выравнивание бюджетной обеспеченности бюджетов поселений.</w:t>
      </w:r>
    </w:p>
    <w:p w:rsidR="006A0CE2" w:rsidRPr="006A0CE2" w:rsidRDefault="006A0CE2" w:rsidP="006A0CE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6A0CE2">
        <w:t xml:space="preserve">Объем и распределение дотаций на выравнивание бюджетной обеспеченности поселений из бюджета района между городским и сельскими поселениями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утверждается решением представительного органа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о бюджете района на очередной финансовый год и плановый период.</w:t>
      </w:r>
    </w:p>
    <w:p w:rsidR="006A0CE2" w:rsidRPr="006A0CE2" w:rsidRDefault="006A0CE2" w:rsidP="006A0CE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jc w:val="both"/>
      </w:pPr>
      <w:bookmarkStart w:id="3" w:name="P1198"/>
      <w:bookmarkEnd w:id="3"/>
      <w:r w:rsidRPr="006A0CE2">
        <w:t>Дотации на выравнивание бюджетной обеспеченности поселений из бюджета района, за исключением дотаций в части, формируемой за счет субвенций, передаваемых бюджету района из бюджета Республики Карелия на осуществление переданных ему отдельных государственных полномочий по расчету и предоставлению дотаций бюджетам городских и сельских поселений, предоставляются бюджетам поселений, уровень расчетной бюджетной обеспеченности которых не превышает уровень, установленный в качестве критерия выравнивания расчетной бюджетной обеспеченности поселений.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4.1. Расчетная бюджетная обеспеченность поселений определяется соотношением налоговых доходов на одного жителя, которые могут быть получены бюджетом городского и сельских поселений исходя из налоговой базы (налогового потенциала), и аналогичного показателя в среднем по поселениям с учетом различий в структуре населения, социально-экономических, климатических, географических и иных объективных факторах и условиях, влияющих на стоимость предоставления муниципальных услуг в расчете на одного жителя.</w:t>
      </w:r>
    </w:p>
    <w:p w:rsidR="006A0CE2" w:rsidRPr="006A0CE2" w:rsidRDefault="006A0CE2" w:rsidP="006A0CE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ind w:left="0" w:firstLine="709"/>
        <w:jc w:val="both"/>
      </w:pPr>
      <w:r w:rsidRPr="006A0CE2">
        <w:t xml:space="preserve">В случае предоставления дотаций на выравнивание бюджетной обеспеченности из бюджета района, администрация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</w:t>
      </w:r>
      <w:proofErr w:type="gramStart"/>
      <w:r w:rsidRPr="006A0CE2">
        <w:t>района  заключает</w:t>
      </w:r>
      <w:proofErr w:type="gramEnd"/>
      <w:r w:rsidRPr="006A0CE2">
        <w:t xml:space="preserve"> с главами поселений (лицами, их замещающими), получивших дотации на выравнивание бюджетной обеспеченности, соглашения, которыми предусматриваются </w:t>
      </w:r>
      <w:r w:rsidRPr="006A0CE2">
        <w:lastRenderedPageBreak/>
        <w:t>меры по социально-экономическому развитию и оздоровлению муниципальных финансов поселения.</w:t>
      </w: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</w:pPr>
      <w:r w:rsidRPr="006A0CE2">
        <w:t xml:space="preserve">Порядок, сроки заключения соглашений и требования к соглашениям, которые указаны в настоящем пункте, устанавливаются администрацией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6. Дотации на выравнивание бюджетной обеспеченности поселений предоставляются бюджетам поселений ежемесячно в соответствии с утвержденной сводной бюджетной росписью бюджета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с учетом сезонных потребностей, возникающих в процессе исполнения бюджетов городского и сельских поселений.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7. При составлении и (или) утверждении бюджета района по согласованию с представительными органами муниципальных образований городского и сельских поселений, входящих в состав района, дотации на выравнивание бюджетной обеспеченности поселений могут быть полностью или частично заменены дополнительными нормативами отчислений от налога на доходы физических лиц в бюджеты городских и сельских поселений.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8. Дополнительный норматив отчисления от налога на доходы физических лиц в бюджет соответствующего (i) поселения (</w:t>
      </w:r>
      <w:proofErr w:type="spellStart"/>
      <w:r w:rsidRPr="006A0CE2">
        <w:t>Nпдоп</w:t>
      </w:r>
      <w:r w:rsidRPr="006A0CE2">
        <w:rPr>
          <w:vertAlign w:val="subscript"/>
        </w:rPr>
        <w:t>i</w:t>
      </w:r>
      <w:proofErr w:type="spellEnd"/>
      <w:r w:rsidRPr="006A0CE2">
        <w:t>) рассчитывается по формуле: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outlineLvl w:val="0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center"/>
      </w:pPr>
      <w:proofErr w:type="spellStart"/>
      <w:r w:rsidRPr="006A0CE2">
        <w:t>Nпдоп</w:t>
      </w:r>
      <w:r w:rsidRPr="006A0CE2">
        <w:rPr>
          <w:vertAlign w:val="subscript"/>
        </w:rPr>
        <w:t>i</w:t>
      </w:r>
      <w:proofErr w:type="spellEnd"/>
      <w:r w:rsidRPr="006A0CE2">
        <w:t xml:space="preserve"> = S x </w:t>
      </w:r>
      <w:proofErr w:type="spellStart"/>
      <w:r w:rsidRPr="006A0CE2">
        <w:t>Дп</w:t>
      </w:r>
      <w:r w:rsidRPr="006A0CE2">
        <w:rPr>
          <w:vertAlign w:val="subscript"/>
        </w:rPr>
        <w:t>i</w:t>
      </w:r>
      <w:proofErr w:type="spellEnd"/>
      <w:r w:rsidRPr="006A0CE2">
        <w:t xml:space="preserve"> / </w:t>
      </w:r>
      <w:proofErr w:type="spellStart"/>
      <w:r w:rsidRPr="006A0CE2">
        <w:t>НПпндфл</w:t>
      </w:r>
      <w:r w:rsidRPr="006A0CE2">
        <w:rPr>
          <w:vertAlign w:val="subscript"/>
        </w:rPr>
        <w:t>i</w:t>
      </w:r>
      <w:proofErr w:type="spellEnd"/>
      <w:r w:rsidRPr="006A0CE2">
        <w:t>, где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S - часть дотации, подлежащая замене дополнительным нормативом отчисления от налога на доходы физических лиц;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proofErr w:type="spellStart"/>
      <w:r w:rsidRPr="006A0CE2">
        <w:t>Дп</w:t>
      </w:r>
      <w:r w:rsidRPr="006A0CE2">
        <w:rPr>
          <w:vertAlign w:val="subscript"/>
        </w:rPr>
        <w:t>i</w:t>
      </w:r>
      <w:proofErr w:type="spellEnd"/>
      <w:r w:rsidRPr="006A0CE2">
        <w:t xml:space="preserve"> - размер дотации на выравнивание бюджетной обеспеченности поселений для соответствующего (i) поселения на очередной финансовый год;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proofErr w:type="spellStart"/>
      <w:r w:rsidRPr="006A0CE2">
        <w:t>НПпндфл</w:t>
      </w:r>
      <w:r w:rsidRPr="006A0CE2">
        <w:rPr>
          <w:vertAlign w:val="subscript"/>
        </w:rPr>
        <w:t>i</w:t>
      </w:r>
      <w:proofErr w:type="spellEnd"/>
      <w:r w:rsidRPr="006A0CE2">
        <w:t xml:space="preserve"> - прогнозируемые поступления от налога на доходы физических лиц в консолидированный бюджет муниципального района с территории соответствующего (i) поселения в планируемом финансовом году.</w:t>
      </w: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  <w:r w:rsidRPr="006A0CE2">
        <w:t>9. В срок до 1 ноября текущего финансового года представительным органом поселения может быть принято решение об отказе, полностью или частично, от получения в очередном финансовом году дотации на выравнивание бюджетной обеспеченности поселений из бюджета района или от налоговых доходов по дополнительным нормативам отчислений от налога на доходы физических лиц в бюджет соответствующего поселения.</w:t>
      </w: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  <w:r w:rsidRPr="006A0CE2">
        <w:t xml:space="preserve">10. Решение представительного органа поселения об отказе, полностью или частично, от получения в очередном финансовом году дотации на выравнивание бюджетной обеспеченности поселений из бюджета района принятое по истечении срока, установленного частью 9 настоящей статьи, и (или) отказ уполномоченного органа местного самоуправления поселения от подписания соглашения о ее предоставлении является основанием для сокращения соответствующего объема дотации путем внесения изменений в решение представительного органа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о бюджете района на текущий финансовый год и плановый период.</w:t>
      </w: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  <w:r w:rsidRPr="006A0CE2">
        <w:t xml:space="preserve">11. В случае отказа, полностью или частично, представительным органом поселения и (или) уполномоченным органом местного самоуправления поселения от получения в очередном финансовом году дотации на выравнивание бюджетной обеспеченности поселений из бюджета района до доведения финансовым органом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бюджетных ассигнований на очередной финансовый год до поселений, объем дотации на сумму отказа может быть перераспределен между поселениями, являющимися получателями дотации на выравнивание в очередном финансовом году по следующей формуле:</w:t>
      </w: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  <w:rPr>
          <w:noProof/>
          <w:position w:val="-10"/>
        </w:rPr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center"/>
      </w:pPr>
      <w:proofErr w:type="spellStart"/>
      <w:r w:rsidRPr="006A0CE2">
        <w:t>Дпу</w:t>
      </w:r>
      <w:proofErr w:type="spellEnd"/>
      <w:r w:rsidRPr="006A0CE2">
        <w:t xml:space="preserve"> = </w:t>
      </w:r>
      <w:proofErr w:type="spellStart"/>
      <w:r w:rsidRPr="006A0CE2">
        <w:t>Дп</w:t>
      </w:r>
      <w:r w:rsidRPr="006A0CE2">
        <w:rPr>
          <w:vertAlign w:val="subscript"/>
        </w:rPr>
        <w:t>i</w:t>
      </w:r>
      <w:proofErr w:type="spellEnd"/>
      <w:r w:rsidRPr="006A0CE2">
        <w:t xml:space="preserve"> x (</w:t>
      </w:r>
      <w:proofErr w:type="spellStart"/>
      <w:r w:rsidRPr="006A0CE2">
        <w:t>Насп</w:t>
      </w:r>
      <w:r w:rsidRPr="006A0CE2">
        <w:rPr>
          <w:vertAlign w:val="subscript"/>
        </w:rPr>
        <w:t>i</w:t>
      </w:r>
      <w:proofErr w:type="spellEnd"/>
      <w:r w:rsidRPr="006A0CE2">
        <w:t xml:space="preserve"> / </w:t>
      </w:r>
      <w:proofErr w:type="spellStart"/>
      <w:r w:rsidRPr="006A0CE2">
        <w:t>Насп</w:t>
      </w:r>
      <w:proofErr w:type="spellEnd"/>
      <w:r w:rsidRPr="006A0CE2">
        <w:t>), где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center"/>
      </w:pP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</w:pPr>
      <w:proofErr w:type="spellStart"/>
      <w:r w:rsidRPr="006A0CE2">
        <w:lastRenderedPageBreak/>
        <w:t>Дп</w:t>
      </w:r>
      <w:r w:rsidRPr="006A0CE2">
        <w:rPr>
          <w:vertAlign w:val="subscript"/>
        </w:rPr>
        <w:t>i</w:t>
      </w:r>
      <w:proofErr w:type="spellEnd"/>
      <w:r w:rsidRPr="006A0CE2">
        <w:t xml:space="preserve"> – размер дотации, подлежавшей к перераспределению в связи с отказом между поселениями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района, являющимися получателями дотации в очередном финансовом году; </w:t>
      </w: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</w:pPr>
      <w:proofErr w:type="spellStart"/>
      <w:r w:rsidRPr="006A0CE2">
        <w:t>Насп</w:t>
      </w:r>
      <w:r w:rsidRPr="006A0CE2">
        <w:rPr>
          <w:vertAlign w:val="subscript"/>
        </w:rPr>
        <w:t>i</w:t>
      </w:r>
      <w:proofErr w:type="spellEnd"/>
      <w:r w:rsidRPr="006A0CE2">
        <w:t xml:space="preserve"> – численность </w:t>
      </w:r>
      <w:proofErr w:type="gramStart"/>
      <w:r w:rsidRPr="006A0CE2">
        <w:t>постоянного населения</w:t>
      </w:r>
      <w:proofErr w:type="gramEnd"/>
      <w:r w:rsidRPr="006A0CE2">
        <w:t xml:space="preserve"> соответствующего (i) поселения муниципального района в соответствии с данными органов статистики на конец отчетного года, являющегося получателем дотации в очередном финансовом году;</w:t>
      </w: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</w:pPr>
      <w:proofErr w:type="spellStart"/>
      <w:r w:rsidRPr="006A0CE2">
        <w:t>Насп</w:t>
      </w:r>
      <w:proofErr w:type="spellEnd"/>
      <w:r w:rsidRPr="006A0CE2">
        <w:t xml:space="preserve"> – численность постоянного населения всех поселений в соответствии с данными органов статистики на конец отчетного года, являющимися получателями дотации в очередном финансовом году.</w:t>
      </w: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</w:pP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  <w:r w:rsidRPr="006A0CE2">
        <w:t>12. Распределение дотаций на выравнивание бюджетной обеспеченности поселений из бюджета района осуществляется в соответствии с порядком распределения дотаций на выравнивание бюджетной обеспеченности поселений, установленной статьей 5 настоящего Положения.</w:t>
      </w: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rPr>
          <w:b/>
        </w:rPr>
      </w:pPr>
      <w:r w:rsidRPr="006A0CE2">
        <w:rPr>
          <w:b/>
        </w:rPr>
        <w:t>Статья 5. Порядок и методика расчета дотаций на выравнивание бюджетной обеспеченности поселений</w:t>
      </w: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/>
        </w:rPr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1. Распределение дотаций из бюджета района в части, формируемой за счет субвенций, передаваемых бюджету района из бюджета Республики Карелия на осуществление переданных ему отдельных государственных полномочий по расчету и предоставлению дотаций бюджетам поселений, осуществляется в соответствии со </w:t>
      </w:r>
      <w:hyperlink r:id="rId14" w:history="1">
        <w:r w:rsidRPr="006A0CE2">
          <w:t>статьей 24</w:t>
        </w:r>
      </w:hyperlink>
      <w:r w:rsidRPr="006A0CE2">
        <w:t xml:space="preserve"> Закона о межбюджетных отношениях в Республике Карелия.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2. Дотации из бюджета района в части, формируемой за счет собственных доходов и источников финансирования дефицита бюджета района, направляемых на выравнивание бюджетной обеспеченности бюджетов поселений распределяются между поселениями, уровень расчетной бюджетной обеспеченности которых не превышает уровень, установленный в качестве критерия выравнивания, пропорционально отклонению уровня расчетной бюджетной обеспеченности этих поселений от уровня, установленного в качестве критерия выравнивания.</w:t>
      </w: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</w:pPr>
      <w:r w:rsidRPr="006A0CE2">
        <w:t>3. Уровень расчетной бюджетной обеспеченности поселения определяется как отношение индекса налогового потенциала к индексу бюджетных расходов соответствующего поселения и рассчитывается по формуле: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tbl>
      <w:tblPr>
        <w:tblW w:w="5921" w:type="dxa"/>
        <w:tblInd w:w="1951" w:type="dxa"/>
        <w:tblLook w:val="01E0" w:firstRow="1" w:lastRow="1" w:firstColumn="1" w:lastColumn="1" w:noHBand="0" w:noVBand="0"/>
      </w:tblPr>
      <w:tblGrid>
        <w:gridCol w:w="1458"/>
        <w:gridCol w:w="1062"/>
        <w:gridCol w:w="1922"/>
        <w:gridCol w:w="226"/>
        <w:gridCol w:w="1253"/>
      </w:tblGrid>
      <w:tr w:rsidR="006A0CE2" w:rsidRPr="006A0CE2" w:rsidTr="00DC3B10">
        <w:trPr>
          <w:trHeight w:val="3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</w:rPr>
            </w:pPr>
            <w:r w:rsidRPr="006A0CE2">
              <w:rPr>
                <w:b/>
              </w:rPr>
              <w:t xml:space="preserve">БОП (у) 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</w:rPr>
              <w:t>=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</w:rPr>
              <w:t>ИНПП (у)</w:t>
            </w:r>
          </w:p>
        </w:tc>
        <w:tc>
          <w:tcPr>
            <w:tcW w:w="248" w:type="dxa"/>
            <w:tcBorders>
              <w:top w:val="single" w:sz="4" w:space="0" w:color="auto"/>
              <w:righ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lang w:val="en-US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lang w:val="en-US"/>
              </w:rPr>
            </w:pPr>
          </w:p>
        </w:tc>
      </w:tr>
      <w:tr w:rsidR="006A0CE2" w:rsidRPr="006A0CE2" w:rsidTr="00DC3B10">
        <w:trPr>
          <w:trHeight w:val="413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</w:tc>
        <w:tc>
          <w:tcPr>
            <w:tcW w:w="367" w:type="dxa"/>
            <w:vMerge/>
            <w:tcBorders>
              <w:bottom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</w:rPr>
              <w:t>ИБРП (у)</w:t>
            </w:r>
          </w:p>
        </w:tc>
        <w:tc>
          <w:tcPr>
            <w:tcW w:w="248" w:type="dxa"/>
            <w:tcBorders>
              <w:bottom w:val="single" w:sz="4" w:space="0" w:color="auto"/>
              <w:righ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</w:pPr>
            <w:r w:rsidRPr="006A0CE2">
              <w:t>где</w:t>
            </w:r>
          </w:p>
        </w:tc>
      </w:tr>
    </w:tbl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БОП (у)</w:t>
      </w:r>
      <w:r w:rsidRPr="006A0CE2">
        <w:rPr>
          <w:b/>
        </w:rPr>
        <w:tab/>
      </w:r>
      <w:r w:rsidRPr="006A0CE2">
        <w:tab/>
        <w:t>-</w:t>
      </w:r>
      <w:r w:rsidRPr="006A0CE2">
        <w:tab/>
        <w:t>уровень расчетной бюджетной обеспеченности соответствующего(y) поселения муниципального района;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ИНПП (у)</w:t>
      </w:r>
      <w:r w:rsidRPr="006A0CE2">
        <w:rPr>
          <w:b/>
        </w:rPr>
        <w:tab/>
      </w:r>
      <w:r w:rsidRPr="006A0CE2">
        <w:t>-</w:t>
      </w:r>
      <w:r w:rsidRPr="006A0CE2">
        <w:tab/>
        <w:t xml:space="preserve">индекс </w:t>
      </w:r>
      <w:proofErr w:type="gramStart"/>
      <w:r w:rsidRPr="006A0CE2">
        <w:t>налогового потенциала</w:t>
      </w:r>
      <w:proofErr w:type="gramEnd"/>
      <w:r w:rsidRPr="006A0CE2">
        <w:t xml:space="preserve"> соответствующего (y) поселения муниципального района;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ИБРП (у)</w:t>
      </w:r>
      <w:r w:rsidRPr="006A0CE2">
        <w:rPr>
          <w:b/>
        </w:rPr>
        <w:tab/>
      </w:r>
      <w:r w:rsidRPr="006A0CE2">
        <w:t>-</w:t>
      </w:r>
      <w:r w:rsidRPr="006A0CE2">
        <w:tab/>
        <w:t>индекс бюджетных расходов соответствующего (y) поселения муниципального района.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4. Индекс налогового потенциала поселения определяется как отношение налогового потенциала поселения муниципального района в расчете на одного жителя к аналогичному показателю в среднем по всем поселениям, входящим в состав соответствующего муниципального района, и рассчитывается по формуле: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tbl>
      <w:tblPr>
        <w:tblW w:w="5531" w:type="dxa"/>
        <w:tblInd w:w="2093" w:type="dxa"/>
        <w:tblLook w:val="01E0" w:firstRow="1" w:lastRow="1" w:firstColumn="1" w:lastColumn="1" w:noHBand="0" w:noVBand="0"/>
      </w:tblPr>
      <w:tblGrid>
        <w:gridCol w:w="1672"/>
        <w:gridCol w:w="1062"/>
        <w:gridCol w:w="222"/>
        <w:gridCol w:w="1645"/>
        <w:gridCol w:w="222"/>
        <w:gridCol w:w="1253"/>
      </w:tblGrid>
      <w:tr w:rsidR="006A0CE2" w:rsidRPr="006A0CE2" w:rsidTr="00DC3B10">
        <w:trPr>
          <w:trHeight w:val="3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</w:rPr>
            </w:pPr>
            <w:r w:rsidRPr="006A0CE2">
              <w:rPr>
                <w:b/>
              </w:rPr>
              <w:lastRenderedPageBreak/>
              <w:t xml:space="preserve">ИНПП (у) </w:t>
            </w:r>
          </w:p>
        </w:tc>
        <w:tc>
          <w:tcPr>
            <w:tcW w:w="599" w:type="dxa"/>
            <w:tcBorders>
              <w:top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</w:rPr>
              <w:t>НПП (у)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lang w:val="en-US"/>
              </w:rPr>
            </w:pPr>
          </w:p>
        </w:tc>
      </w:tr>
      <w:tr w:rsidR="006A0CE2" w:rsidRPr="006A0CE2" w:rsidTr="00DC3B10">
        <w:trPr>
          <w:trHeight w:val="385"/>
        </w:trPr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</w:rPr>
            </w:pPr>
          </w:p>
        </w:tc>
        <w:tc>
          <w:tcPr>
            <w:tcW w:w="599" w:type="dxa"/>
            <w:vMerge w:val="restart"/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</w:rPr>
              <w:t>=</w:t>
            </w:r>
          </w:p>
        </w:tc>
        <w:tc>
          <w:tcPr>
            <w:tcW w:w="283" w:type="dxa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18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</w:rPr>
              <w:t>НАСП (у)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lang w:val="en-US"/>
              </w:rPr>
            </w:pPr>
          </w:p>
        </w:tc>
      </w:tr>
      <w:tr w:rsidR="006A0CE2" w:rsidRPr="006A0CE2" w:rsidTr="00DC3B10">
        <w:trPr>
          <w:trHeight w:val="413"/>
        </w:trPr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</w:tc>
        <w:tc>
          <w:tcPr>
            <w:tcW w:w="599" w:type="dxa"/>
            <w:vMerge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283" w:type="dxa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18" w:space="0" w:color="auto"/>
              <w:bottom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  <w:lang w:val="en-US"/>
              </w:rPr>
              <w:t xml:space="preserve">SUM </w:t>
            </w:r>
            <w:r w:rsidRPr="006A0CE2">
              <w:rPr>
                <w:b/>
              </w:rPr>
              <w:t>НПП (у)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  <w:tr w:rsidR="006A0CE2" w:rsidRPr="006A0CE2" w:rsidTr="00DC3B10">
        <w:trPr>
          <w:trHeight w:val="413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  <w:lang w:val="en-US"/>
              </w:rPr>
              <w:t xml:space="preserve">SUM </w:t>
            </w:r>
            <w:r w:rsidRPr="006A0CE2">
              <w:rPr>
                <w:b/>
              </w:rPr>
              <w:t>НАСП (у)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  <w:rPr>
                <w:lang w:val="en-US"/>
              </w:rPr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</w:pPr>
            <w:r w:rsidRPr="006A0CE2">
              <w:t>где</w:t>
            </w:r>
          </w:p>
        </w:tc>
      </w:tr>
    </w:tbl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ИНПП (у)</w:t>
      </w:r>
      <w:r w:rsidRPr="006A0CE2">
        <w:rPr>
          <w:b/>
        </w:rPr>
        <w:tab/>
      </w:r>
      <w:r w:rsidRPr="006A0CE2">
        <w:t>-</w:t>
      </w:r>
      <w:r w:rsidRPr="006A0CE2">
        <w:tab/>
        <w:t xml:space="preserve">индекс </w:t>
      </w:r>
      <w:proofErr w:type="gramStart"/>
      <w:r w:rsidRPr="006A0CE2">
        <w:t>налогового потенциала</w:t>
      </w:r>
      <w:proofErr w:type="gramEnd"/>
      <w:r w:rsidRPr="006A0CE2">
        <w:t xml:space="preserve"> соответствующего (y) поселения муниципального района;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НПП (у)</w:t>
      </w:r>
      <w:r w:rsidRPr="006A0CE2">
        <w:rPr>
          <w:b/>
        </w:rPr>
        <w:tab/>
      </w:r>
      <w:r w:rsidRPr="006A0CE2">
        <w:t>-</w:t>
      </w:r>
      <w:r w:rsidRPr="006A0CE2">
        <w:tab/>
        <w:t>налоговый потенциал соответствующего (y) поселения муниципального района;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НАСП (у)</w:t>
      </w:r>
      <w:r w:rsidRPr="006A0CE2">
        <w:rPr>
          <w:b/>
        </w:rPr>
        <w:tab/>
      </w:r>
      <w:r w:rsidRPr="006A0CE2">
        <w:t xml:space="preserve">- </w:t>
      </w:r>
      <w:r w:rsidRPr="006A0CE2">
        <w:tab/>
        <w:t xml:space="preserve">численность </w:t>
      </w:r>
      <w:proofErr w:type="gramStart"/>
      <w:r w:rsidRPr="006A0CE2">
        <w:t>постоянного населения</w:t>
      </w:r>
      <w:proofErr w:type="gramEnd"/>
      <w:r w:rsidRPr="006A0CE2">
        <w:t xml:space="preserve"> соответствующего (y) поселения муниципального района в соответствии с данными органов статистики на конец отчетного года;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  <w:lang w:val="en-US"/>
        </w:rPr>
        <w:t>SUM</w:t>
      </w:r>
      <w:r w:rsidRPr="006A0CE2">
        <w:rPr>
          <w:b/>
        </w:rPr>
        <w:t xml:space="preserve"> НПП (у)</w:t>
      </w:r>
      <w:r w:rsidRPr="006A0CE2">
        <w:rPr>
          <w:b/>
        </w:rPr>
        <w:tab/>
      </w:r>
      <w:r w:rsidRPr="006A0CE2">
        <w:t>-</w:t>
      </w:r>
      <w:r w:rsidRPr="006A0CE2">
        <w:tab/>
        <w:t>суммарный налоговый потенциал всех поселений муниципального района</w:t>
      </w:r>
      <w:proofErr w:type="gramStart"/>
      <w:r w:rsidRPr="006A0CE2">
        <w:t>;</w:t>
      </w:r>
      <w:proofErr w:type="gramEnd"/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  <w:lang w:val="en-US"/>
        </w:rPr>
        <w:t>SUM</w:t>
      </w:r>
      <w:r w:rsidRPr="006A0CE2">
        <w:rPr>
          <w:b/>
        </w:rPr>
        <w:t xml:space="preserve"> НАСП (у)</w:t>
      </w:r>
      <w:r w:rsidRPr="006A0CE2">
        <w:rPr>
          <w:b/>
        </w:rPr>
        <w:tab/>
      </w:r>
      <w:r w:rsidRPr="006A0CE2">
        <w:t>-</w:t>
      </w:r>
      <w:r w:rsidRPr="006A0CE2">
        <w:tab/>
        <w:t>общая численность постоянного населения поселений муниципального района в соответствии с данными органов статистики на конец отчетного года.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</w:pPr>
      <w:r w:rsidRPr="006A0CE2">
        <w:t>5. Налоговый потенциал поселения, входящего в состав муниципального района, рассчитывается по формуле:</w:t>
      </w:r>
    </w:p>
    <w:tbl>
      <w:tblPr>
        <w:tblW w:w="4357" w:type="dxa"/>
        <w:tblInd w:w="2518" w:type="dxa"/>
        <w:tblLook w:val="01E0" w:firstRow="1" w:lastRow="1" w:firstColumn="1" w:lastColumn="1" w:noHBand="0" w:noVBand="0"/>
      </w:tblPr>
      <w:tblGrid>
        <w:gridCol w:w="1486"/>
        <w:gridCol w:w="1062"/>
        <w:gridCol w:w="1459"/>
        <w:gridCol w:w="1253"/>
      </w:tblGrid>
      <w:tr w:rsidR="006A0CE2" w:rsidRPr="006A0CE2" w:rsidTr="00DC3B10">
        <w:trPr>
          <w:trHeight w:val="296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</w:rPr>
            </w:pPr>
            <w:r w:rsidRPr="006A0CE2">
              <w:rPr>
                <w:b/>
              </w:rPr>
              <w:t xml:space="preserve">НПП (у) </w:t>
            </w:r>
          </w:p>
        </w:tc>
        <w:tc>
          <w:tcPr>
            <w:tcW w:w="3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</w:rPr>
              <w:t>=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lang w:val="en-US"/>
              </w:rPr>
            </w:pPr>
            <w:r w:rsidRPr="006A0CE2">
              <w:rPr>
                <w:b/>
                <w:lang w:val="en-US"/>
              </w:rPr>
              <w:t xml:space="preserve">SUM </w:t>
            </w:r>
            <w:r w:rsidRPr="006A0CE2">
              <w:rPr>
                <w:b/>
              </w:rPr>
              <w:t xml:space="preserve">НПП </w:t>
            </w:r>
            <w:r w:rsidRPr="006A0CE2">
              <w:rPr>
                <w:b/>
                <w:lang w:val="en-US"/>
              </w:rPr>
              <w:t>(</w:t>
            </w:r>
            <w:proofErr w:type="spellStart"/>
            <w:r w:rsidRPr="006A0CE2">
              <w:rPr>
                <w:b/>
                <w:lang w:val="en-US"/>
              </w:rPr>
              <w:t>yj</w:t>
            </w:r>
            <w:proofErr w:type="spellEnd"/>
            <w:r w:rsidRPr="006A0CE2">
              <w:rPr>
                <w:b/>
                <w:lang w:val="en-US"/>
              </w:rPr>
              <w:t>)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lang w:val="en-US"/>
              </w:rPr>
            </w:pPr>
          </w:p>
        </w:tc>
      </w:tr>
      <w:tr w:rsidR="006A0CE2" w:rsidRPr="006A0CE2" w:rsidTr="00DC3B10">
        <w:trPr>
          <w:trHeight w:val="291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367" w:type="dxa"/>
            <w:vMerge/>
            <w:tcBorders>
              <w:bottom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9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</w:pPr>
            <w:r w:rsidRPr="006A0CE2">
              <w:t>где</w:t>
            </w:r>
          </w:p>
        </w:tc>
      </w:tr>
    </w:tbl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НПП (у)</w:t>
      </w:r>
      <w:r w:rsidRPr="006A0CE2">
        <w:rPr>
          <w:b/>
        </w:rPr>
        <w:tab/>
      </w:r>
      <w:r w:rsidRPr="006A0CE2">
        <w:t>-</w:t>
      </w:r>
      <w:r w:rsidRPr="006A0CE2">
        <w:tab/>
        <w:t>налоговый потенциал соответствующего (y) поселения муниципального района;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  <w:lang w:val="en-US"/>
        </w:rPr>
        <w:t>SUM</w:t>
      </w:r>
      <w:r w:rsidRPr="006A0CE2">
        <w:tab/>
        <w:t>-</w:t>
      </w:r>
      <w:r w:rsidRPr="006A0CE2">
        <w:tab/>
        <w:t>сумма;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НПП (</w:t>
      </w:r>
      <w:proofErr w:type="spellStart"/>
      <w:r w:rsidRPr="006A0CE2">
        <w:rPr>
          <w:b/>
          <w:lang w:val="en-US"/>
        </w:rPr>
        <w:t>yj</w:t>
      </w:r>
      <w:proofErr w:type="spellEnd"/>
      <w:r w:rsidRPr="006A0CE2">
        <w:rPr>
          <w:b/>
        </w:rPr>
        <w:t>)</w:t>
      </w:r>
      <w:r w:rsidRPr="006A0CE2">
        <w:tab/>
        <w:t>-</w:t>
      </w:r>
      <w:r w:rsidRPr="006A0CE2">
        <w:tab/>
        <w:t>налоговый потенциал соответствующего (y) поселения муниципального района по конкретному (j) налогу.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Для расчета налогового потенциала поселений используются налоги и показатели, характеризующие базу налогообложения, согласно приложению 1 к настоящему Положению.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 Другие доходы при расчете бюджетной обеспеченности поселений не учитываются.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Налоговый потенциал поселения муниципального района по конкретному налогу рассчитывается по формуле:</w:t>
      </w:r>
    </w:p>
    <w:tbl>
      <w:tblPr>
        <w:tblW w:w="6396" w:type="dxa"/>
        <w:tblInd w:w="1809" w:type="dxa"/>
        <w:tblLook w:val="01E0" w:firstRow="1" w:lastRow="1" w:firstColumn="1" w:lastColumn="1" w:noHBand="0" w:noVBand="0"/>
      </w:tblPr>
      <w:tblGrid>
        <w:gridCol w:w="1486"/>
        <w:gridCol w:w="1062"/>
        <w:gridCol w:w="2595"/>
        <w:gridCol w:w="1253"/>
      </w:tblGrid>
      <w:tr w:rsidR="006A0CE2" w:rsidRPr="006A0CE2" w:rsidTr="00DC3B10">
        <w:trPr>
          <w:trHeight w:val="54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</w:rPr>
            </w:pPr>
            <w:r w:rsidRPr="006A0CE2">
              <w:rPr>
                <w:b/>
              </w:rPr>
              <w:t>НПП (у</w:t>
            </w:r>
            <w:r w:rsidRPr="006A0CE2">
              <w:rPr>
                <w:b/>
                <w:lang w:val="en-US"/>
              </w:rPr>
              <w:t>j</w:t>
            </w:r>
            <w:r w:rsidRPr="006A0CE2">
              <w:rPr>
                <w:b/>
              </w:rPr>
              <w:t xml:space="preserve">) </w:t>
            </w:r>
          </w:p>
        </w:tc>
        <w:tc>
          <w:tcPr>
            <w:tcW w:w="3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</w:rPr>
              <w:t>=</w:t>
            </w:r>
          </w:p>
        </w:tc>
        <w:tc>
          <w:tcPr>
            <w:tcW w:w="3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</w:rPr>
              <w:t>НБП(</w:t>
            </w:r>
            <w:proofErr w:type="spellStart"/>
            <w:r w:rsidRPr="006A0CE2">
              <w:rPr>
                <w:b/>
                <w:lang w:val="en-US"/>
              </w:rPr>
              <w:t>yj</w:t>
            </w:r>
            <w:proofErr w:type="spellEnd"/>
            <w:r w:rsidRPr="006A0CE2">
              <w:rPr>
                <w:b/>
              </w:rPr>
              <w:t>) * РНСП(</w:t>
            </w:r>
            <w:r w:rsidRPr="006A0CE2">
              <w:rPr>
                <w:b/>
                <w:lang w:val="en-US"/>
              </w:rPr>
              <w:t>j</w:t>
            </w:r>
            <w:r w:rsidRPr="006A0CE2">
              <w:rPr>
                <w:b/>
              </w:rPr>
              <w:t>) * НОРМП (</w:t>
            </w:r>
            <w:r w:rsidRPr="006A0CE2">
              <w:rPr>
                <w:b/>
                <w:lang w:val="en-US"/>
              </w:rPr>
              <w:t>j</w:t>
            </w:r>
            <w:r w:rsidRPr="006A0CE2">
              <w:rPr>
                <w:b/>
              </w:rPr>
              <w:t>)</w:t>
            </w:r>
          </w:p>
        </w:tc>
        <w:tc>
          <w:tcPr>
            <w:tcW w:w="813" w:type="dxa"/>
            <w:tcBorders>
              <w:lef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</w:pPr>
            <w:r w:rsidRPr="006A0CE2">
              <w:t>где</w:t>
            </w:r>
          </w:p>
        </w:tc>
      </w:tr>
    </w:tbl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НПП (у</w:t>
      </w:r>
      <w:proofErr w:type="gramStart"/>
      <w:r w:rsidRPr="006A0CE2">
        <w:rPr>
          <w:b/>
          <w:lang w:val="en-US"/>
        </w:rPr>
        <w:t>j</w:t>
      </w:r>
      <w:r w:rsidRPr="006A0CE2">
        <w:rPr>
          <w:b/>
        </w:rPr>
        <w:t>)</w:t>
      </w:r>
      <w:r w:rsidRPr="006A0CE2">
        <w:rPr>
          <w:b/>
        </w:rPr>
        <w:tab/>
      </w:r>
      <w:proofErr w:type="gramEnd"/>
      <w:r w:rsidRPr="006A0CE2">
        <w:t>-</w:t>
      </w:r>
      <w:r w:rsidRPr="006A0CE2">
        <w:tab/>
        <w:t>налоговый потенциал соответствующего (y) поселения муниципального района по конкретному (j) налогу;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НБП(</w:t>
      </w:r>
      <w:proofErr w:type="spellStart"/>
      <w:r w:rsidRPr="006A0CE2">
        <w:rPr>
          <w:b/>
          <w:lang w:val="en-US"/>
        </w:rPr>
        <w:t>yj</w:t>
      </w:r>
      <w:proofErr w:type="spellEnd"/>
      <w:r w:rsidRPr="006A0CE2">
        <w:rPr>
          <w:b/>
        </w:rPr>
        <w:t>)</w:t>
      </w:r>
      <w:r w:rsidRPr="006A0CE2">
        <w:tab/>
        <w:t>-</w:t>
      </w:r>
      <w:r w:rsidRPr="006A0CE2">
        <w:tab/>
        <w:t>показатель, характеризующий налоговую базу соответствующего (y) поселения муниципального района по конкретному (j)налогу за отчетный год на основании данных отчетов, указанных в графе "Источник информации" приложения 1 к настоящему Решению;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РНСП(</w:t>
      </w:r>
      <w:r w:rsidRPr="006A0CE2">
        <w:rPr>
          <w:b/>
          <w:lang w:val="en-US"/>
        </w:rPr>
        <w:t>j</w:t>
      </w:r>
      <w:r w:rsidRPr="006A0CE2">
        <w:rPr>
          <w:b/>
        </w:rPr>
        <w:t>)</w:t>
      </w:r>
      <w:r w:rsidRPr="006A0CE2">
        <w:tab/>
        <w:t>-</w:t>
      </w:r>
      <w:r w:rsidRPr="006A0CE2">
        <w:tab/>
        <w:t>репрезентативная налоговая ставка по поселениям по конкретному (j) налогу;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НОРМП (</w:t>
      </w:r>
      <w:r w:rsidRPr="006A0CE2">
        <w:rPr>
          <w:b/>
          <w:lang w:val="en-US"/>
        </w:rPr>
        <w:t>j</w:t>
      </w:r>
      <w:r w:rsidRPr="006A0CE2">
        <w:rPr>
          <w:b/>
        </w:rPr>
        <w:t>)</w:t>
      </w:r>
      <w:r w:rsidRPr="006A0CE2">
        <w:tab/>
        <w:t>-</w:t>
      </w:r>
      <w:r w:rsidRPr="006A0CE2">
        <w:tab/>
        <w:t xml:space="preserve">норматив отчислений доходов в бюджеты поселении муниципального района от конкретного (j) налога в соответствии с Бюджетным Кодексом </w:t>
      </w:r>
      <w:r w:rsidRPr="006A0CE2">
        <w:lastRenderedPageBreak/>
        <w:t>Российской Федерации.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Репрезентативная налоговая ставка по поселениям по конкретному (j) налогу определяется по формуле: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tbl>
      <w:tblPr>
        <w:tblW w:w="5605" w:type="dxa"/>
        <w:tblInd w:w="1548" w:type="dxa"/>
        <w:tblLook w:val="01E0" w:firstRow="1" w:lastRow="1" w:firstColumn="1" w:lastColumn="1" w:noHBand="0" w:noVBand="0"/>
      </w:tblPr>
      <w:tblGrid>
        <w:gridCol w:w="1619"/>
        <w:gridCol w:w="1062"/>
        <w:gridCol w:w="1486"/>
        <w:gridCol w:w="222"/>
        <w:gridCol w:w="1253"/>
      </w:tblGrid>
      <w:tr w:rsidR="006A0CE2" w:rsidRPr="006A0CE2" w:rsidTr="00DC3B10">
        <w:trPr>
          <w:trHeight w:val="38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right"/>
              <w:rPr>
                <w:b/>
              </w:rPr>
            </w:pPr>
            <w:r w:rsidRPr="006A0CE2">
              <w:rPr>
                <w:b/>
              </w:rPr>
              <w:t>РНСП (</w:t>
            </w:r>
            <w:r w:rsidRPr="006A0CE2">
              <w:rPr>
                <w:b/>
                <w:lang w:val="en-US"/>
              </w:rPr>
              <w:t>j</w:t>
            </w:r>
            <w:r w:rsidRPr="006A0CE2">
              <w:rPr>
                <w:b/>
              </w:rPr>
              <w:t xml:space="preserve">) </w:t>
            </w:r>
          </w:p>
        </w:tc>
        <w:tc>
          <w:tcPr>
            <w:tcW w:w="366" w:type="dxa"/>
            <w:vMerge w:val="restart"/>
            <w:tcBorders>
              <w:top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</w:rPr>
              <w:t>=</w:t>
            </w:r>
          </w:p>
        </w:tc>
        <w:tc>
          <w:tcPr>
            <w:tcW w:w="2348" w:type="dxa"/>
            <w:tcBorders>
              <w:top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u w:val="single"/>
              </w:rPr>
            </w:pPr>
            <w:r w:rsidRPr="006A0CE2">
              <w:rPr>
                <w:b/>
                <w:u w:val="single"/>
              </w:rPr>
              <w:t>НПП (</w:t>
            </w:r>
            <w:r w:rsidRPr="006A0CE2">
              <w:rPr>
                <w:b/>
                <w:u w:val="single"/>
                <w:lang w:val="en-US"/>
              </w:rPr>
              <w:t>j</w:t>
            </w:r>
            <w:r w:rsidRPr="006A0CE2">
              <w:rPr>
                <w:b/>
                <w:u w:val="single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lang w:val="en-US"/>
              </w:rPr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lang w:val="en-US"/>
              </w:rPr>
            </w:pPr>
          </w:p>
        </w:tc>
      </w:tr>
      <w:tr w:rsidR="006A0CE2" w:rsidRPr="006A0CE2" w:rsidTr="00DC3B10">
        <w:trPr>
          <w:trHeight w:val="413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366" w:type="dxa"/>
            <w:vMerge/>
            <w:tcBorders>
              <w:bottom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A0CE2">
              <w:rPr>
                <w:b/>
              </w:rPr>
              <w:t>НБП (</w:t>
            </w:r>
            <w:r w:rsidRPr="006A0CE2">
              <w:rPr>
                <w:b/>
                <w:lang w:val="en-US"/>
              </w:rPr>
              <w:t>j</w:t>
            </w:r>
            <w:r w:rsidRPr="006A0CE2">
              <w:rPr>
                <w:b/>
              </w:rPr>
              <w:t>)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807" w:type="dxa"/>
            <w:tcBorders>
              <w:left w:val="single" w:sz="4" w:space="0" w:color="auto"/>
            </w:tcBorders>
          </w:tcPr>
          <w:p w:rsidR="006A0CE2" w:rsidRPr="006A0CE2" w:rsidRDefault="006A0CE2" w:rsidP="006A0CE2">
            <w:pPr>
              <w:autoSpaceDE w:val="0"/>
              <w:autoSpaceDN w:val="0"/>
              <w:adjustRightInd w:val="0"/>
              <w:ind w:firstLine="709"/>
              <w:jc w:val="both"/>
            </w:pPr>
            <w:r w:rsidRPr="006A0CE2">
              <w:t>где</w:t>
            </w:r>
          </w:p>
        </w:tc>
      </w:tr>
    </w:tbl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РНСП</w:t>
      </w:r>
      <w:r w:rsidRPr="006A0CE2">
        <w:t xml:space="preserve"> </w:t>
      </w:r>
      <w:r w:rsidRPr="006A0CE2">
        <w:rPr>
          <w:b/>
        </w:rPr>
        <w:t>(</w:t>
      </w:r>
      <w:r w:rsidRPr="006A0CE2">
        <w:rPr>
          <w:b/>
          <w:lang w:val="en-US"/>
        </w:rPr>
        <w:t>j</w:t>
      </w:r>
      <w:r w:rsidRPr="006A0CE2">
        <w:rPr>
          <w:b/>
        </w:rPr>
        <w:t>)</w:t>
      </w:r>
      <w:r w:rsidRPr="006A0CE2">
        <w:rPr>
          <w:b/>
        </w:rPr>
        <w:tab/>
      </w:r>
      <w:r w:rsidRPr="006A0CE2">
        <w:t>-</w:t>
      </w:r>
      <w:r w:rsidRPr="006A0CE2">
        <w:tab/>
        <w:t>репрезентативная налоговая ставка по поселениям по конкретному (j) налогу;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НПП</w:t>
      </w:r>
      <w:r w:rsidRPr="006A0CE2">
        <w:t xml:space="preserve"> </w:t>
      </w:r>
      <w:r w:rsidRPr="006A0CE2">
        <w:rPr>
          <w:b/>
        </w:rPr>
        <w:t>(</w:t>
      </w:r>
      <w:r w:rsidRPr="006A0CE2">
        <w:rPr>
          <w:b/>
          <w:lang w:val="en-US"/>
        </w:rPr>
        <w:t>j</w:t>
      </w:r>
      <w:r w:rsidRPr="006A0CE2">
        <w:rPr>
          <w:b/>
        </w:rPr>
        <w:t>)</w:t>
      </w:r>
      <w:r w:rsidRPr="006A0CE2">
        <w:rPr>
          <w:b/>
        </w:rPr>
        <w:tab/>
      </w:r>
      <w:r w:rsidRPr="006A0CE2">
        <w:t>-</w:t>
      </w:r>
      <w:r w:rsidRPr="006A0CE2">
        <w:tab/>
        <w:t>суммарный налоговый потенциал всех поселений, входящих в состав соответствующего муниципального района, по конкретному (j) налогу на основании показателей прогноза социально-экономического развития муниципального образования (налог на доходы физических лиц) на очередной год и данных отчетов территориального органа федеральной налоговой службы по Республике Карелия (земельный налог, налог на имущество физических лиц) за отчетный год;</w:t>
      </w:r>
    </w:p>
    <w:p w:rsidR="006A0CE2" w:rsidRPr="006A0CE2" w:rsidRDefault="006A0CE2" w:rsidP="006A0CE2">
      <w:pPr>
        <w:widowControl w:val="0"/>
        <w:autoSpaceDE w:val="0"/>
        <w:autoSpaceDN w:val="0"/>
        <w:adjustRightInd w:val="0"/>
        <w:ind w:firstLine="709"/>
        <w:jc w:val="both"/>
      </w:pPr>
      <w:r w:rsidRPr="006A0CE2">
        <w:rPr>
          <w:b/>
        </w:rPr>
        <w:t>НБП</w:t>
      </w:r>
      <w:r w:rsidRPr="006A0CE2">
        <w:t xml:space="preserve"> </w:t>
      </w:r>
      <w:r w:rsidRPr="006A0CE2">
        <w:rPr>
          <w:b/>
        </w:rPr>
        <w:t>(</w:t>
      </w:r>
      <w:r w:rsidRPr="006A0CE2">
        <w:rPr>
          <w:b/>
          <w:lang w:val="en-US"/>
        </w:rPr>
        <w:t>j</w:t>
      </w:r>
      <w:r w:rsidRPr="006A0CE2">
        <w:rPr>
          <w:b/>
        </w:rPr>
        <w:t>)</w:t>
      </w:r>
      <w:r w:rsidRPr="006A0CE2">
        <w:rPr>
          <w:b/>
        </w:rPr>
        <w:tab/>
      </w:r>
      <w:r w:rsidRPr="006A0CE2">
        <w:rPr>
          <w:b/>
        </w:rPr>
        <w:tab/>
      </w:r>
      <w:r w:rsidRPr="006A0CE2">
        <w:t>-</w:t>
      </w:r>
      <w:r w:rsidRPr="006A0CE2">
        <w:tab/>
        <w:t>суммарный объем показателя, характеризующий налоговую базу всех поселений, входящих в состав соответствующего муниципального района, по конкретному (j) налогу за отчетный год на основании данных отчетов, указанных в графе "Источник информации" приложения 1 к настоящему Решению.</w:t>
      </w:r>
    </w:p>
    <w:p w:rsidR="006A0CE2" w:rsidRPr="006A0CE2" w:rsidRDefault="006A0CE2" w:rsidP="006A0CE2">
      <w:pPr>
        <w:tabs>
          <w:tab w:val="decimal" w:pos="1311"/>
        </w:tabs>
        <w:autoSpaceDE w:val="0"/>
        <w:autoSpaceDN w:val="0"/>
        <w:adjustRightInd w:val="0"/>
        <w:ind w:firstLine="709"/>
        <w:jc w:val="both"/>
      </w:pPr>
      <w:r w:rsidRPr="006A0CE2">
        <w:rPr>
          <w:bCs/>
        </w:rPr>
        <w:t xml:space="preserve">6. </w:t>
      </w:r>
      <w:r w:rsidRPr="006A0CE2">
        <w:t xml:space="preserve">Индекс бюджетных расходов поселения определяет, на сколько больше (меньше) средств бюджета поселения в расчете на душу населения по сравнению со средним по всем поселениям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уровнем оцениваются расходы для решения вопросов местного значения с учетом специфики социально-демографического состава обслуживаемого населения и условий, влияющих на стоимость предоставляемых бюджетных услуг в расчете на одного жителя.</w:t>
      </w:r>
    </w:p>
    <w:p w:rsidR="006A0CE2" w:rsidRPr="006A0CE2" w:rsidRDefault="006A0CE2" w:rsidP="006A0CE2">
      <w:pPr>
        <w:tabs>
          <w:tab w:val="decimal" w:pos="1311"/>
        </w:tabs>
        <w:autoSpaceDE w:val="0"/>
        <w:autoSpaceDN w:val="0"/>
        <w:adjustRightInd w:val="0"/>
        <w:ind w:firstLine="709"/>
        <w:jc w:val="both"/>
      </w:pPr>
      <w:r w:rsidRPr="006A0CE2">
        <w:t>Индекс бюджетных расходов соответствующего поселения (</w:t>
      </w:r>
      <w:r w:rsidRPr="006A0CE2">
        <w:rPr>
          <w:b/>
        </w:rPr>
        <w:t>ИБРП (у)</w:t>
      </w:r>
      <w:r w:rsidRPr="006A0CE2">
        <w:t>) рассчитывается по формуле: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outlineLvl w:val="2"/>
      </w:pPr>
      <w:r w:rsidRPr="006A0CE2">
        <w:rPr>
          <w:b/>
        </w:rPr>
        <w:t>ИБРП (</w:t>
      </w:r>
      <w:proofErr w:type="gramStart"/>
      <w:r w:rsidRPr="006A0CE2">
        <w:rPr>
          <w:b/>
        </w:rPr>
        <w:t>у)</w:t>
      </w:r>
      <w:r w:rsidRPr="006A0CE2">
        <w:t xml:space="preserve">  =</w:t>
      </w:r>
      <w:proofErr w:type="gramEnd"/>
      <w:r w:rsidRPr="006A0CE2">
        <w:t xml:space="preserve">  (0,60  x  </w:t>
      </w:r>
      <w:proofErr w:type="spellStart"/>
      <w:r w:rsidRPr="006A0CE2">
        <w:t>kзп</w:t>
      </w:r>
      <w:r w:rsidRPr="006A0CE2">
        <w:rPr>
          <w:vertAlign w:val="subscript"/>
          <w:lang w:val="en-US"/>
        </w:rPr>
        <w:t>i</w:t>
      </w:r>
      <w:proofErr w:type="spellEnd"/>
      <w:r w:rsidRPr="006A0CE2">
        <w:t xml:space="preserve">  +  0,10  x  </w:t>
      </w:r>
      <w:proofErr w:type="spellStart"/>
      <w:r w:rsidRPr="006A0CE2">
        <w:t>kком</w:t>
      </w:r>
      <w:r w:rsidRPr="006A0CE2">
        <w:rPr>
          <w:vertAlign w:val="subscript"/>
          <w:lang w:val="en-US"/>
        </w:rPr>
        <w:t>i</w:t>
      </w:r>
      <w:proofErr w:type="spellEnd"/>
      <w:r w:rsidRPr="006A0CE2">
        <w:rPr>
          <w:vertAlign w:val="subscript"/>
        </w:rPr>
        <w:t xml:space="preserve"> </w:t>
      </w:r>
      <w:r w:rsidRPr="006A0CE2">
        <w:t xml:space="preserve"> +  0,30)  x  </w:t>
      </w:r>
      <w:proofErr w:type="spellStart"/>
      <w:r w:rsidRPr="006A0CE2">
        <w:t>kинт</w:t>
      </w:r>
      <w:r w:rsidRPr="006A0CE2">
        <w:rPr>
          <w:vertAlign w:val="subscript"/>
          <w:lang w:val="en-US"/>
        </w:rPr>
        <w:t>i</w:t>
      </w:r>
      <w:proofErr w:type="spellEnd"/>
      <w:r w:rsidRPr="006A0CE2">
        <w:rPr>
          <w:vertAlign w:val="subscript"/>
        </w:rPr>
        <w:t xml:space="preserve"> </w:t>
      </w:r>
      <w:r w:rsidRPr="006A0CE2">
        <w:t>, где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proofErr w:type="spellStart"/>
      <w:r w:rsidRPr="006A0CE2">
        <w:t>kзп</w:t>
      </w:r>
      <w:r w:rsidRPr="006A0CE2">
        <w:rPr>
          <w:vertAlign w:val="subscript"/>
          <w:lang w:val="en-US"/>
        </w:rPr>
        <w:t>i</w:t>
      </w:r>
      <w:proofErr w:type="spellEnd"/>
      <w:r w:rsidRPr="006A0CE2">
        <w:t xml:space="preserve"> - коэффициент дифференциации заработной платы для соответствующего (i</w:t>
      </w:r>
      <w:proofErr w:type="gramStart"/>
      <w:r w:rsidRPr="006A0CE2">
        <w:t>)  поселения</w:t>
      </w:r>
      <w:proofErr w:type="gramEnd"/>
      <w:r w:rsidRPr="006A0CE2">
        <w:t xml:space="preserve"> ;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proofErr w:type="spellStart"/>
      <w:r w:rsidRPr="006A0CE2">
        <w:t>kком</w:t>
      </w:r>
      <w:r w:rsidRPr="006A0CE2">
        <w:rPr>
          <w:vertAlign w:val="subscript"/>
          <w:lang w:val="en-US"/>
        </w:rPr>
        <w:t>i</w:t>
      </w:r>
      <w:proofErr w:type="spellEnd"/>
      <w:r w:rsidRPr="006A0CE2">
        <w:t xml:space="preserve"> - корректирующий коэффициент стоимости коммунальных услуг для соответствующего поселения;</w:t>
      </w:r>
    </w:p>
    <w:p w:rsidR="006A0CE2" w:rsidRPr="006A0CE2" w:rsidRDefault="006A0CE2" w:rsidP="006A0CE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spellStart"/>
      <w:r w:rsidRPr="006A0CE2">
        <w:t>kинт</w:t>
      </w:r>
      <w:r w:rsidRPr="006A0CE2">
        <w:rPr>
          <w:vertAlign w:val="subscript"/>
          <w:lang w:val="en-US"/>
        </w:rPr>
        <w:t>i</w:t>
      </w:r>
      <w:proofErr w:type="spellEnd"/>
      <w:r w:rsidRPr="006A0CE2">
        <w:t xml:space="preserve"> - интегральный коэффициент, учитывающий плотность и структуру населения, входящих в состав соответствующего поселения.</w:t>
      </w:r>
    </w:p>
    <w:p w:rsidR="006A0CE2" w:rsidRPr="006A0CE2" w:rsidRDefault="006A0CE2" w:rsidP="006A0CE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widowControl w:val="0"/>
        <w:tabs>
          <w:tab w:val="left" w:pos="142"/>
          <w:tab w:val="decimal" w:pos="1311"/>
        </w:tabs>
        <w:autoSpaceDE w:val="0"/>
        <w:autoSpaceDN w:val="0"/>
        <w:adjustRightInd w:val="0"/>
        <w:ind w:firstLine="709"/>
        <w:jc w:val="both"/>
      </w:pPr>
      <w:r w:rsidRPr="006A0CE2">
        <w:t xml:space="preserve"> Коэффициент дифференциации заработной платы для соответствующего поселения (</w:t>
      </w:r>
      <w:r w:rsidRPr="006A0CE2">
        <w:rPr>
          <w:lang w:val="en-US"/>
        </w:rPr>
        <w:t>k</w:t>
      </w:r>
      <w:proofErr w:type="spellStart"/>
      <w:r w:rsidRPr="006A0CE2">
        <w:t>зп</w:t>
      </w:r>
      <w:r w:rsidRPr="006A0CE2">
        <w:rPr>
          <w:vertAlign w:val="subscript"/>
          <w:lang w:val="en-US"/>
        </w:rPr>
        <w:t>i</w:t>
      </w:r>
      <w:proofErr w:type="spellEnd"/>
      <w:r w:rsidRPr="006A0CE2">
        <w:t xml:space="preserve">) рассчитывается по формуле: </w:t>
      </w:r>
    </w:p>
    <w:p w:rsidR="006A0CE2" w:rsidRPr="006A0CE2" w:rsidRDefault="006A0CE2" w:rsidP="006A0CE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gramStart"/>
      <w:r w:rsidRPr="006A0CE2">
        <w:rPr>
          <w:lang w:val="en-US"/>
        </w:rPr>
        <w:t>k</w:t>
      </w:r>
      <w:proofErr w:type="spellStart"/>
      <w:r w:rsidRPr="006A0CE2">
        <w:t>зп</w:t>
      </w:r>
      <w:r w:rsidRPr="006A0CE2">
        <w:rPr>
          <w:vertAlign w:val="subscript"/>
          <w:lang w:val="en-US"/>
        </w:rPr>
        <w:t>i</w:t>
      </w:r>
      <w:proofErr w:type="spellEnd"/>
      <w:r w:rsidRPr="006A0CE2">
        <w:rPr>
          <w:vertAlign w:val="subscript"/>
        </w:rPr>
        <w:t xml:space="preserve">  </w:t>
      </w:r>
      <w:r w:rsidRPr="006A0CE2">
        <w:t>=</w:t>
      </w:r>
      <w:proofErr w:type="gramEnd"/>
      <w:r w:rsidRPr="006A0CE2">
        <w:t xml:space="preserve">  </w:t>
      </w:r>
      <w:proofErr w:type="spellStart"/>
      <w:r w:rsidRPr="006A0CE2">
        <w:rPr>
          <w:lang w:val="en-US"/>
        </w:rPr>
        <w:t>k</w:t>
      </w:r>
      <w:r w:rsidRPr="006A0CE2">
        <w:rPr>
          <w:vertAlign w:val="subscript"/>
          <w:lang w:val="en-US"/>
        </w:rPr>
        <w:t>i</w:t>
      </w:r>
      <w:proofErr w:type="spellEnd"/>
      <w:r w:rsidRPr="006A0CE2">
        <w:rPr>
          <w:vertAlign w:val="subscript"/>
        </w:rPr>
        <w:t xml:space="preserve">  </w:t>
      </w:r>
      <w:r w:rsidRPr="006A0CE2">
        <w:t xml:space="preserve">/  </w:t>
      </w:r>
      <w:r w:rsidRPr="006A0CE2">
        <w:rPr>
          <w:lang w:val="en-US"/>
        </w:rPr>
        <w:t>k</w:t>
      </w:r>
      <w:r w:rsidRPr="006A0CE2">
        <w:t>ср , где</w:t>
      </w:r>
    </w:p>
    <w:p w:rsidR="006A0CE2" w:rsidRPr="006A0CE2" w:rsidRDefault="006A0CE2" w:rsidP="006A0CE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spellStart"/>
      <w:r w:rsidRPr="006A0CE2">
        <w:t>k</w:t>
      </w:r>
      <w:r w:rsidRPr="006A0CE2">
        <w:rPr>
          <w:vertAlign w:val="subscript"/>
        </w:rPr>
        <w:t>i</w:t>
      </w:r>
      <w:proofErr w:type="spellEnd"/>
      <w:r w:rsidRPr="006A0CE2">
        <w:rPr>
          <w:vertAlign w:val="subscript"/>
        </w:rPr>
        <w:t xml:space="preserve"> </w:t>
      </w:r>
      <w:r w:rsidRPr="006A0CE2">
        <w:t>– районный коэффициент и процентная надбавка за работу в районах Крайнего Севера и приравненных к ним местностях в соответствующем (i) поселении;</w:t>
      </w:r>
    </w:p>
    <w:p w:rsidR="006A0CE2" w:rsidRPr="006A0CE2" w:rsidRDefault="006A0CE2" w:rsidP="006A0CE2">
      <w:pPr>
        <w:tabs>
          <w:tab w:val="left" w:pos="142"/>
          <w:tab w:val="decimal" w:pos="1311"/>
        </w:tabs>
        <w:ind w:firstLine="709"/>
        <w:jc w:val="both"/>
      </w:pPr>
      <w:proofErr w:type="spellStart"/>
      <w:r w:rsidRPr="006A0CE2">
        <w:t>kср</w:t>
      </w:r>
      <w:proofErr w:type="spellEnd"/>
      <w:r w:rsidRPr="006A0CE2">
        <w:t xml:space="preserve"> – средний по всем </w:t>
      </w:r>
      <w:proofErr w:type="gramStart"/>
      <w:r w:rsidRPr="006A0CE2">
        <w:t>поселениям  размер</w:t>
      </w:r>
      <w:proofErr w:type="gramEnd"/>
      <w:r w:rsidRPr="006A0CE2">
        <w:t xml:space="preserve"> районного коэффициента и процентной надбавки за работу в районах Крайнего Севера и приравненных к ним местностях.</w:t>
      </w:r>
    </w:p>
    <w:p w:rsidR="006A0CE2" w:rsidRPr="006A0CE2" w:rsidRDefault="006A0CE2" w:rsidP="006A0CE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6A0CE2">
        <w:t xml:space="preserve">   Корректирующий коэффициент стоимости коммунальных услуг для соответствующего поселения (</w:t>
      </w:r>
      <w:proofErr w:type="spellStart"/>
      <w:r w:rsidRPr="006A0CE2">
        <w:t>kком</w:t>
      </w:r>
      <w:r w:rsidRPr="006A0CE2">
        <w:rPr>
          <w:vertAlign w:val="subscript"/>
        </w:rPr>
        <w:t>i</w:t>
      </w:r>
      <w:proofErr w:type="spellEnd"/>
      <w:r w:rsidRPr="006A0CE2">
        <w:t>) рассчитывается по формуле:</w:t>
      </w:r>
    </w:p>
    <w:p w:rsidR="006A0CE2" w:rsidRPr="006A0CE2" w:rsidRDefault="006A0CE2" w:rsidP="006A0CE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spellStart"/>
      <w:r w:rsidRPr="006A0CE2">
        <w:t>kком</w:t>
      </w:r>
      <w:proofErr w:type="gramStart"/>
      <w:r w:rsidRPr="006A0CE2">
        <w:rPr>
          <w:vertAlign w:val="subscript"/>
        </w:rPr>
        <w:t>i</w:t>
      </w:r>
      <w:proofErr w:type="spellEnd"/>
      <w:r w:rsidRPr="006A0CE2">
        <w:rPr>
          <w:vertAlign w:val="subscript"/>
        </w:rPr>
        <w:t xml:space="preserve">  </w:t>
      </w:r>
      <w:r w:rsidRPr="006A0CE2">
        <w:t>=</w:t>
      </w:r>
      <w:proofErr w:type="gramEnd"/>
      <w:r w:rsidRPr="006A0CE2">
        <w:t xml:space="preserve">  0,60  x  </w:t>
      </w:r>
      <w:proofErr w:type="spellStart"/>
      <w:r w:rsidRPr="006A0CE2">
        <w:t>Тт</w:t>
      </w:r>
      <w:r w:rsidRPr="006A0CE2">
        <w:rPr>
          <w:vertAlign w:val="subscript"/>
        </w:rPr>
        <w:t>i</w:t>
      </w:r>
      <w:proofErr w:type="spellEnd"/>
      <w:r w:rsidRPr="006A0CE2">
        <w:rPr>
          <w:vertAlign w:val="subscript"/>
        </w:rPr>
        <w:t xml:space="preserve">  </w:t>
      </w:r>
      <w:r w:rsidRPr="006A0CE2">
        <w:t xml:space="preserve">/  </w:t>
      </w:r>
      <w:proofErr w:type="spellStart"/>
      <w:r w:rsidRPr="006A0CE2">
        <w:t>Ттср</w:t>
      </w:r>
      <w:proofErr w:type="spellEnd"/>
      <w:r w:rsidRPr="006A0CE2">
        <w:t xml:space="preserve">  +  0,04  x  </w:t>
      </w:r>
      <w:proofErr w:type="spellStart"/>
      <w:r w:rsidRPr="006A0CE2">
        <w:t>Тв</w:t>
      </w:r>
      <w:r w:rsidRPr="006A0CE2">
        <w:rPr>
          <w:vertAlign w:val="subscript"/>
        </w:rPr>
        <w:t>i</w:t>
      </w:r>
      <w:proofErr w:type="spellEnd"/>
      <w:r w:rsidRPr="006A0CE2">
        <w:rPr>
          <w:vertAlign w:val="subscript"/>
        </w:rPr>
        <w:t xml:space="preserve">  </w:t>
      </w:r>
      <w:r w:rsidRPr="006A0CE2">
        <w:t xml:space="preserve">/  </w:t>
      </w:r>
      <w:proofErr w:type="spellStart"/>
      <w:r w:rsidRPr="006A0CE2">
        <w:t>Твср</w:t>
      </w:r>
      <w:proofErr w:type="spellEnd"/>
      <w:r w:rsidRPr="006A0CE2">
        <w:t xml:space="preserve">  +  0,03  x  </w:t>
      </w:r>
      <w:proofErr w:type="spellStart"/>
      <w:r w:rsidRPr="006A0CE2">
        <w:t>Тво</w:t>
      </w:r>
      <w:r w:rsidRPr="006A0CE2">
        <w:rPr>
          <w:vertAlign w:val="subscript"/>
        </w:rPr>
        <w:t>i</w:t>
      </w:r>
      <w:proofErr w:type="spellEnd"/>
      <w:r w:rsidRPr="006A0CE2">
        <w:rPr>
          <w:vertAlign w:val="subscript"/>
        </w:rPr>
        <w:t xml:space="preserve">  </w:t>
      </w:r>
      <w:r w:rsidRPr="006A0CE2">
        <w:t xml:space="preserve">/ </w:t>
      </w:r>
      <w:proofErr w:type="spellStart"/>
      <w:r w:rsidRPr="006A0CE2">
        <w:t>Твоср</w:t>
      </w:r>
      <w:proofErr w:type="spellEnd"/>
      <w:r w:rsidRPr="006A0CE2">
        <w:t xml:space="preserve">  +  0,33 , где</w:t>
      </w:r>
    </w:p>
    <w:p w:rsidR="006A0CE2" w:rsidRPr="006A0CE2" w:rsidRDefault="006A0CE2" w:rsidP="006A0CE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spellStart"/>
      <w:r w:rsidRPr="006A0CE2">
        <w:t>Тт</w:t>
      </w:r>
      <w:r w:rsidRPr="006A0CE2">
        <w:rPr>
          <w:vertAlign w:val="subscript"/>
        </w:rPr>
        <w:t>i</w:t>
      </w:r>
      <w:proofErr w:type="spellEnd"/>
      <w:r w:rsidRPr="006A0CE2">
        <w:t xml:space="preserve"> - средневзвешенный тариф на теплоснабжение по соответствующему (i) поселению;</w:t>
      </w:r>
    </w:p>
    <w:p w:rsidR="006A0CE2" w:rsidRPr="006A0CE2" w:rsidRDefault="006A0CE2" w:rsidP="006A0CE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spellStart"/>
      <w:r w:rsidRPr="006A0CE2">
        <w:t>Ттср</w:t>
      </w:r>
      <w:proofErr w:type="spellEnd"/>
      <w:r w:rsidRPr="006A0CE2">
        <w:t xml:space="preserve"> - средний по всем городским (сельским) поселениям средневзвешенный тариф на теплоснабжение;</w:t>
      </w:r>
    </w:p>
    <w:p w:rsidR="006A0CE2" w:rsidRPr="006A0CE2" w:rsidRDefault="006A0CE2" w:rsidP="006A0CE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spellStart"/>
      <w:r w:rsidRPr="006A0CE2">
        <w:lastRenderedPageBreak/>
        <w:t>Тв</w:t>
      </w:r>
      <w:r w:rsidRPr="006A0CE2">
        <w:rPr>
          <w:vertAlign w:val="subscript"/>
        </w:rPr>
        <w:t>i</w:t>
      </w:r>
      <w:proofErr w:type="spellEnd"/>
      <w:r w:rsidRPr="006A0CE2">
        <w:t xml:space="preserve"> - средневзвешенный тариф на водоснабжение по соответствующему (i) поселению;</w:t>
      </w:r>
    </w:p>
    <w:p w:rsidR="006A0CE2" w:rsidRPr="006A0CE2" w:rsidRDefault="006A0CE2" w:rsidP="006A0CE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spellStart"/>
      <w:r w:rsidRPr="006A0CE2">
        <w:t>Твср</w:t>
      </w:r>
      <w:proofErr w:type="spellEnd"/>
      <w:r w:rsidRPr="006A0CE2">
        <w:t xml:space="preserve"> - средний по всем поселениям средневзвешенный тариф на водоснабжение;</w:t>
      </w:r>
    </w:p>
    <w:p w:rsidR="006A0CE2" w:rsidRPr="006A0CE2" w:rsidRDefault="006A0CE2" w:rsidP="006A0CE2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proofErr w:type="spellStart"/>
      <w:r w:rsidRPr="006A0CE2">
        <w:t>Тво</w:t>
      </w:r>
      <w:r w:rsidRPr="006A0CE2">
        <w:rPr>
          <w:vertAlign w:val="subscript"/>
        </w:rPr>
        <w:t>i</w:t>
      </w:r>
      <w:proofErr w:type="spellEnd"/>
      <w:r w:rsidRPr="006A0CE2">
        <w:t xml:space="preserve"> - средневзвешенный тариф на водоотведение по соответствующему (i</w:t>
      </w:r>
      <w:proofErr w:type="gramStart"/>
      <w:r w:rsidRPr="006A0CE2">
        <w:t>)  поселению</w:t>
      </w:r>
      <w:proofErr w:type="gramEnd"/>
      <w:r w:rsidRPr="006A0CE2">
        <w:t>;</w:t>
      </w:r>
    </w:p>
    <w:p w:rsidR="006A0CE2" w:rsidRPr="006A0CE2" w:rsidRDefault="006A0CE2" w:rsidP="006A0CE2">
      <w:pPr>
        <w:tabs>
          <w:tab w:val="left" w:pos="142"/>
          <w:tab w:val="decimal" w:pos="1311"/>
        </w:tabs>
        <w:ind w:firstLine="709"/>
        <w:jc w:val="both"/>
      </w:pPr>
      <w:proofErr w:type="spellStart"/>
      <w:r w:rsidRPr="006A0CE2">
        <w:t>Твоср</w:t>
      </w:r>
      <w:proofErr w:type="spellEnd"/>
      <w:r w:rsidRPr="006A0CE2">
        <w:t xml:space="preserve"> - средний по всем поселениям средневзвешенный тариф на водоотведение.</w:t>
      </w:r>
    </w:p>
    <w:p w:rsidR="006A0CE2" w:rsidRPr="006A0CE2" w:rsidRDefault="006A0CE2" w:rsidP="006A0CE2">
      <w:pPr>
        <w:tabs>
          <w:tab w:val="left" w:pos="142"/>
          <w:tab w:val="decimal" w:pos="1311"/>
        </w:tabs>
        <w:ind w:firstLine="709"/>
        <w:jc w:val="both"/>
      </w:pPr>
      <w:r w:rsidRPr="006A0CE2">
        <w:t xml:space="preserve">  Интегральный коэффициент, учитывающий плотность и структуру населения поселений, входящих в состав соответствующего муниципального </w:t>
      </w:r>
      <w:proofErr w:type="gramStart"/>
      <w:r w:rsidRPr="006A0CE2">
        <w:t>района,  (</w:t>
      </w:r>
      <w:proofErr w:type="gramEnd"/>
      <w:r w:rsidRPr="006A0CE2">
        <w:rPr>
          <w:lang w:val="en-US"/>
        </w:rPr>
        <w:t>k</w:t>
      </w:r>
      <w:proofErr w:type="spellStart"/>
      <w:r w:rsidRPr="006A0CE2">
        <w:t>инт</w:t>
      </w:r>
      <w:r w:rsidRPr="006A0CE2">
        <w:rPr>
          <w:vertAlign w:val="subscript"/>
          <w:lang w:val="en-US"/>
        </w:rPr>
        <w:t>i</w:t>
      </w:r>
      <w:proofErr w:type="spellEnd"/>
      <w:r w:rsidRPr="006A0CE2">
        <w:t>) рассчитывается по формуле:</w:t>
      </w:r>
    </w:p>
    <w:p w:rsidR="006A0CE2" w:rsidRPr="006A0CE2" w:rsidRDefault="006A0CE2" w:rsidP="006A0CE2">
      <w:pPr>
        <w:tabs>
          <w:tab w:val="left" w:pos="142"/>
          <w:tab w:val="decimal" w:pos="1311"/>
        </w:tabs>
        <w:ind w:firstLine="709"/>
        <w:jc w:val="both"/>
      </w:pPr>
      <w:proofErr w:type="spellStart"/>
      <w:r w:rsidRPr="006A0CE2">
        <w:t>kинт</w:t>
      </w:r>
      <w:proofErr w:type="gramStart"/>
      <w:r w:rsidRPr="006A0CE2">
        <w:rPr>
          <w:vertAlign w:val="subscript"/>
          <w:lang w:val="en-US"/>
        </w:rPr>
        <w:t>i</w:t>
      </w:r>
      <w:proofErr w:type="spellEnd"/>
      <w:r w:rsidRPr="006A0CE2">
        <w:t xml:space="preserve">  =</w:t>
      </w:r>
      <w:proofErr w:type="gramEnd"/>
      <w:r w:rsidRPr="006A0CE2">
        <w:t xml:space="preserve">  </w:t>
      </w:r>
      <w:proofErr w:type="spellStart"/>
      <w:r w:rsidRPr="006A0CE2">
        <w:t>kпл</w:t>
      </w:r>
      <w:r w:rsidRPr="006A0CE2">
        <w:rPr>
          <w:vertAlign w:val="subscript"/>
          <w:lang w:val="en-US"/>
        </w:rPr>
        <w:t>i</w:t>
      </w:r>
      <w:proofErr w:type="spellEnd"/>
      <w:r w:rsidRPr="006A0CE2">
        <w:rPr>
          <w:vertAlign w:val="subscript"/>
        </w:rPr>
        <w:t xml:space="preserve"> </w:t>
      </w:r>
      <w:r w:rsidRPr="006A0CE2">
        <w:t xml:space="preserve"> x  0,4  +  </w:t>
      </w:r>
      <w:proofErr w:type="spellStart"/>
      <w:r w:rsidRPr="006A0CE2">
        <w:t>kстр</w:t>
      </w:r>
      <w:r w:rsidRPr="006A0CE2">
        <w:rPr>
          <w:vertAlign w:val="subscript"/>
          <w:lang w:val="en-US"/>
        </w:rPr>
        <w:t>i</w:t>
      </w:r>
      <w:proofErr w:type="spellEnd"/>
      <w:r w:rsidRPr="006A0CE2">
        <w:t xml:space="preserve">  x  0,3  , где</w:t>
      </w:r>
    </w:p>
    <w:p w:rsidR="006A0CE2" w:rsidRPr="006A0CE2" w:rsidRDefault="006A0CE2" w:rsidP="006A0CE2">
      <w:pPr>
        <w:tabs>
          <w:tab w:val="left" w:pos="142"/>
          <w:tab w:val="decimal" w:pos="1311"/>
        </w:tabs>
        <w:ind w:firstLine="709"/>
        <w:jc w:val="both"/>
      </w:pPr>
      <w:proofErr w:type="gramStart"/>
      <w:r w:rsidRPr="006A0CE2">
        <w:rPr>
          <w:lang w:val="en-US"/>
        </w:rPr>
        <w:t>k</w:t>
      </w:r>
      <w:proofErr w:type="spellStart"/>
      <w:r w:rsidRPr="006A0CE2">
        <w:t>пл</w:t>
      </w:r>
      <w:r w:rsidRPr="006A0CE2">
        <w:rPr>
          <w:vertAlign w:val="subscript"/>
          <w:lang w:val="en-US"/>
        </w:rPr>
        <w:t>i</w:t>
      </w:r>
      <w:proofErr w:type="spellEnd"/>
      <w:proofErr w:type="gramEnd"/>
      <w:r w:rsidRPr="006A0CE2">
        <w:t xml:space="preserve"> – коэффициент, учитывающий плотность населения соответствующего (i) поселения;</w:t>
      </w:r>
    </w:p>
    <w:p w:rsidR="006A0CE2" w:rsidRPr="006A0CE2" w:rsidRDefault="006A0CE2" w:rsidP="006A0CE2">
      <w:pPr>
        <w:tabs>
          <w:tab w:val="left" w:pos="142"/>
          <w:tab w:val="decimal" w:pos="1311"/>
        </w:tabs>
        <w:ind w:firstLine="709"/>
        <w:jc w:val="both"/>
      </w:pPr>
      <w:proofErr w:type="gramStart"/>
      <w:r w:rsidRPr="006A0CE2">
        <w:rPr>
          <w:lang w:val="en-US"/>
        </w:rPr>
        <w:t>k</w:t>
      </w:r>
      <w:proofErr w:type="spellStart"/>
      <w:r w:rsidRPr="006A0CE2">
        <w:t>стр</w:t>
      </w:r>
      <w:r w:rsidRPr="006A0CE2">
        <w:rPr>
          <w:vertAlign w:val="subscript"/>
          <w:lang w:val="en-US"/>
        </w:rPr>
        <w:t>i</w:t>
      </w:r>
      <w:proofErr w:type="spellEnd"/>
      <w:proofErr w:type="gramEnd"/>
      <w:r w:rsidRPr="006A0CE2">
        <w:t>– коэффициент, учитывающий структуру населения соответствующего (i) поселения;</w:t>
      </w:r>
    </w:p>
    <w:p w:rsidR="006A0CE2" w:rsidRPr="006A0CE2" w:rsidRDefault="006A0CE2" w:rsidP="006A0CE2">
      <w:pPr>
        <w:ind w:firstLine="709"/>
        <w:jc w:val="both"/>
      </w:pPr>
      <w:proofErr w:type="gramStart"/>
      <w:r w:rsidRPr="006A0CE2">
        <w:rPr>
          <w:lang w:val="en-US"/>
        </w:rPr>
        <w:t>k</w:t>
      </w:r>
      <w:proofErr w:type="spellStart"/>
      <w:r w:rsidRPr="006A0CE2">
        <w:t>пл</w:t>
      </w:r>
      <w:r w:rsidRPr="006A0CE2">
        <w:rPr>
          <w:vertAlign w:val="subscript"/>
          <w:lang w:val="en-US"/>
        </w:rPr>
        <w:t>i</w:t>
      </w:r>
      <w:proofErr w:type="spellEnd"/>
      <w:proofErr w:type="gramEnd"/>
      <w:r w:rsidRPr="006A0CE2">
        <w:rPr>
          <w:vertAlign w:val="subscript"/>
        </w:rPr>
        <w:t xml:space="preserve">  </w:t>
      </w:r>
      <w:r w:rsidRPr="006A0CE2">
        <w:t xml:space="preserve"> - коэффициент, учитывающий плотность населения соответствующего (i) поселения рассчитывается как среднее арифметическое коэффициентов ,учитывающих плотность населения, удаленность поселков от районного центра, численность сельского населения.</w:t>
      </w:r>
    </w:p>
    <w:p w:rsidR="006A0CE2" w:rsidRPr="006A0CE2" w:rsidRDefault="006A0CE2" w:rsidP="006A0CE2">
      <w:pPr>
        <w:ind w:firstLine="709"/>
        <w:jc w:val="both"/>
      </w:pPr>
      <w:r w:rsidRPr="006A0CE2">
        <w:t xml:space="preserve">7. Порядок </w:t>
      </w:r>
      <w:proofErr w:type="gramStart"/>
      <w:r w:rsidRPr="006A0CE2">
        <w:t>определения  критерия</w:t>
      </w:r>
      <w:proofErr w:type="gramEnd"/>
      <w:r w:rsidRPr="006A0CE2">
        <w:t xml:space="preserve"> выравнивания финансовых возможностей бюджетов поселений </w:t>
      </w:r>
    </w:p>
    <w:p w:rsidR="006A0CE2" w:rsidRPr="006A0CE2" w:rsidRDefault="006A0CE2" w:rsidP="006A0CE2">
      <w:pPr>
        <w:spacing w:before="100" w:beforeAutospacing="1" w:after="100" w:afterAutospacing="1"/>
        <w:ind w:firstLine="709"/>
        <w:contextualSpacing/>
        <w:jc w:val="both"/>
        <w:outlineLvl w:val="2"/>
      </w:pPr>
      <w:r w:rsidRPr="006A0CE2">
        <w:t xml:space="preserve">7.1. Критерий выравнивания финансовых возможностей </w:t>
      </w:r>
      <w:proofErr w:type="gramStart"/>
      <w:r w:rsidRPr="006A0CE2">
        <w:t>бюджетов  поселений</w:t>
      </w:r>
      <w:proofErr w:type="gramEnd"/>
      <w:r w:rsidRPr="006A0CE2">
        <w:t xml:space="preserve"> определяется как среднее арифметическое суммы показателей уровня бюджетной обеспеченности по поселениям после выравнивания.</w:t>
      </w:r>
    </w:p>
    <w:p w:rsidR="006A0CE2" w:rsidRPr="006A0CE2" w:rsidRDefault="006A0CE2" w:rsidP="006A0CE2">
      <w:pPr>
        <w:spacing w:before="100" w:beforeAutospacing="1" w:after="100" w:afterAutospacing="1"/>
        <w:ind w:firstLine="709"/>
        <w:contextualSpacing/>
        <w:jc w:val="both"/>
        <w:outlineLvl w:val="2"/>
      </w:pPr>
      <w:r w:rsidRPr="006A0CE2">
        <w:t xml:space="preserve">7.2. Критерий выравнивания финансовых возможностей бюджетов поселений устанавливается Решением Совета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о бюджете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на текущий финансовый год (на текущий финансовый год и плановый период).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8. . Дотации на выравнивание бюджетной обеспеченности поселений (Д</w:t>
      </w:r>
      <w:proofErr w:type="spellStart"/>
      <w:r w:rsidRPr="006A0CE2">
        <w:rPr>
          <w:vertAlign w:val="subscript"/>
          <w:lang w:val="en-US"/>
        </w:rPr>
        <w:t>i</w:t>
      </w:r>
      <w:proofErr w:type="spellEnd"/>
      <w:r w:rsidRPr="006A0CE2">
        <w:t>) распределяются по формуле: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center"/>
      </w:pPr>
      <w:r w:rsidRPr="006A0CE2">
        <w:t>Д</w:t>
      </w:r>
      <w:proofErr w:type="spellStart"/>
      <w:r w:rsidRPr="006A0CE2">
        <w:rPr>
          <w:vertAlign w:val="subscript"/>
          <w:lang w:val="en-US"/>
        </w:rPr>
        <w:t>i</w:t>
      </w:r>
      <w:proofErr w:type="spellEnd"/>
      <w:r w:rsidRPr="006A0CE2">
        <w:rPr>
          <w:vertAlign w:val="subscript"/>
        </w:rPr>
        <w:t xml:space="preserve"> </w:t>
      </w:r>
      <w:r w:rsidRPr="006A0CE2">
        <w:t>= Д x (Нас</w:t>
      </w:r>
      <w:proofErr w:type="spellStart"/>
      <w:r w:rsidRPr="006A0CE2">
        <w:rPr>
          <w:vertAlign w:val="subscript"/>
          <w:lang w:val="en-US"/>
        </w:rPr>
        <w:t>i</w:t>
      </w:r>
      <w:proofErr w:type="spellEnd"/>
      <w:r w:rsidRPr="006A0CE2">
        <w:rPr>
          <w:vertAlign w:val="subscript"/>
        </w:rPr>
        <w:t>у</w:t>
      </w:r>
      <w:r w:rsidRPr="006A0CE2">
        <w:t xml:space="preserve"> / (Нас-Нас</w:t>
      </w:r>
      <w:proofErr w:type="spellStart"/>
      <w:r w:rsidRPr="006A0CE2">
        <w:rPr>
          <w:vertAlign w:val="subscript"/>
          <w:lang w:val="en-US"/>
        </w:rPr>
        <w:t>i</w:t>
      </w:r>
      <w:r w:rsidRPr="006A0CE2">
        <w:rPr>
          <w:vertAlign w:val="subscript"/>
        </w:rPr>
        <w:t>пу</w:t>
      </w:r>
      <w:proofErr w:type="spellEnd"/>
      <w:r w:rsidRPr="006A0CE2">
        <w:t>)), где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center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Д - общий объем дотации на выравнивание бюджетной обеспеченности поселений на очередной финансовый год (первый и второй год планового периода);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proofErr w:type="spellStart"/>
      <w:r w:rsidRPr="006A0CE2">
        <w:t>Нас</w:t>
      </w:r>
      <w:r w:rsidRPr="006A0CE2">
        <w:rPr>
          <w:vertAlign w:val="subscript"/>
        </w:rPr>
        <w:t>i</w:t>
      </w:r>
      <w:proofErr w:type="spellEnd"/>
      <w:r w:rsidRPr="006A0CE2">
        <w:rPr>
          <w:vertAlign w:val="subscript"/>
          <w:lang w:val="en-US"/>
        </w:rPr>
        <w:t>y</w:t>
      </w:r>
      <w:r w:rsidRPr="006A0CE2">
        <w:t xml:space="preserve"> - численность </w:t>
      </w:r>
      <w:proofErr w:type="gramStart"/>
      <w:r w:rsidRPr="006A0CE2">
        <w:t>постоянного населения</w:t>
      </w:r>
      <w:proofErr w:type="gramEnd"/>
      <w:r w:rsidRPr="006A0CE2">
        <w:t xml:space="preserve"> соответствующего (i) поселения, уровень расчетной бюджетной обеспеченности которого не превышает уровень, установленный в качестве критерия выравнивания расчетной бюджетной обеспеченности поселений, в соответствии с данными органов статистики на конец отчетного года;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Нас - численность постоянного населения </w:t>
      </w:r>
      <w:proofErr w:type="spellStart"/>
      <w:r w:rsidRPr="006A0CE2">
        <w:t>Олонецкого</w:t>
      </w:r>
      <w:proofErr w:type="spellEnd"/>
      <w:r w:rsidRPr="006A0CE2">
        <w:t xml:space="preserve"> </w:t>
      </w:r>
      <w:proofErr w:type="gramStart"/>
      <w:r w:rsidRPr="006A0CE2">
        <w:t>национального  муниципального</w:t>
      </w:r>
      <w:proofErr w:type="gramEnd"/>
      <w:r w:rsidRPr="006A0CE2">
        <w:t xml:space="preserve"> района в соответствии с данными органов статистики на конец отчетного года;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Нас</w:t>
      </w:r>
      <w:proofErr w:type="spellStart"/>
      <w:r w:rsidRPr="006A0CE2">
        <w:rPr>
          <w:vertAlign w:val="subscript"/>
          <w:lang w:val="en-US"/>
        </w:rPr>
        <w:t>i</w:t>
      </w:r>
      <w:r w:rsidRPr="006A0CE2">
        <w:rPr>
          <w:vertAlign w:val="subscript"/>
        </w:rPr>
        <w:t>пу</w:t>
      </w:r>
      <w:proofErr w:type="spellEnd"/>
      <w:r w:rsidRPr="006A0CE2">
        <w:t xml:space="preserve"> - численность </w:t>
      </w:r>
      <w:proofErr w:type="gramStart"/>
      <w:r w:rsidRPr="006A0CE2">
        <w:t>постоянного населения</w:t>
      </w:r>
      <w:proofErr w:type="gramEnd"/>
      <w:r w:rsidRPr="006A0CE2">
        <w:t xml:space="preserve"> соответствующего (i) поселения, уровень расчетной бюджетной обеспеченности которого превышает уровень, установленный в качестве критерия выравнивания расчетной бюджетной обеспеченности поселений, в соответствии с данными органов статистики на конец отчетного года.</w:t>
      </w: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b/>
        </w:rPr>
      </w:pPr>
      <w:r w:rsidRPr="006A0CE2">
        <w:rPr>
          <w:b/>
        </w:rPr>
        <w:t>Статья 6. Субвенции из бюджета района бюджетам городского и сельских поселений</w:t>
      </w: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  <w:r w:rsidRPr="006A0CE2">
        <w:t xml:space="preserve">Субвенции из бюджета района бюджетам поселений предоставляются в случаях, установленных </w:t>
      </w:r>
      <w:hyperlink r:id="rId15" w:history="1">
        <w:r w:rsidRPr="006A0CE2">
          <w:t>статьями 133</w:t>
        </w:r>
      </w:hyperlink>
      <w:r w:rsidRPr="006A0CE2">
        <w:t xml:space="preserve"> и </w:t>
      </w:r>
      <w:hyperlink r:id="rId16" w:history="1">
        <w:r w:rsidRPr="006A0CE2">
          <w:t>140</w:t>
        </w:r>
      </w:hyperlink>
      <w:r w:rsidRPr="006A0CE2">
        <w:t xml:space="preserve"> Бюджетного кодекса Российской Федерации, статьей 9 Закона о межбюджетных отношениях в Республике Карелия.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A0CE2">
        <w:rPr>
          <w:b/>
        </w:rPr>
        <w:lastRenderedPageBreak/>
        <w:t>Статья 7. Межбюджетные трансферты (за исключением субвенций) имеющие целевое назначение бюджетам городского и сельских поселений, которые предоставляются за счет бюджета Республики Карелия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1. Межбюджетные трансферты (за исключение субвенций) имеющие целевое назначение предоставляются бюджетам поселений в случае принятия решений органов государственной власти Республики Карелия о предоставлении межбюджетных трансфертов (за исключением субвенций) бюджету района для последующего предоставления их соответствующим городскому и сельским поселениям, входящим в состав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2. Межбюджетные трансферты (за исключением субвенций) из бюджета района бюджетам городского и сельских поселений, которые предоставляются за счет бюджета Республики Карелия, предоставляются при условии соблюдения соответствующими органами местного самоуправления городского и сельских поселений основных условий предоставления межбюджетных трансфертов из бюджетов субъектов Российской Федерации местным бюджетам, предусмотренных </w:t>
      </w:r>
      <w:hyperlink r:id="rId17" w:history="1">
        <w:r w:rsidRPr="006A0CE2">
          <w:t>статьей 136</w:t>
        </w:r>
      </w:hyperlink>
      <w:r w:rsidRPr="006A0CE2">
        <w:t xml:space="preserve"> Бюджетного кодекса, 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Pr="006A0CE2">
        <w:t>софинансирования</w:t>
      </w:r>
      <w:proofErr w:type="spellEnd"/>
      <w:r w:rsidRPr="006A0CE2">
        <w:t xml:space="preserve"> Республикой Карелия (в процентах) объема расходного обязательства муниципального образования», порядками предоставления и распределения межбюджетных трансфертов из бюджета Республики Карелия.</w:t>
      </w:r>
    </w:p>
    <w:p w:rsidR="006A0CE2" w:rsidRPr="006A0CE2" w:rsidRDefault="006A0CE2" w:rsidP="006A0CE2">
      <w:pPr>
        <w:widowControl w:val="0"/>
        <w:tabs>
          <w:tab w:val="left" w:pos="993"/>
        </w:tabs>
        <w:autoSpaceDE w:val="0"/>
        <w:autoSpaceDN w:val="0"/>
        <w:ind w:firstLine="709"/>
        <w:jc w:val="both"/>
      </w:pPr>
      <w:r w:rsidRPr="006A0CE2">
        <w:t>3. Цели, порядок и условия предоставления межбюджетных трансфертов (за исключением субвенций) из бюджета района, источником финансового обеспечения которых являются субсидии и иные межбюджетные трансферты, имеющие целевое назначение устанавливаются соглашением между администрацией района и администрациями поселений.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A0CE2">
        <w:rPr>
          <w:b/>
        </w:rPr>
        <w:t>Статья 8. Субсидии, перечисляемые в бюджет Республики Карелия</w:t>
      </w:r>
    </w:p>
    <w:p w:rsidR="006A0CE2" w:rsidRPr="006A0CE2" w:rsidRDefault="006A0CE2" w:rsidP="006A0CE2">
      <w:pPr>
        <w:ind w:firstLine="709"/>
        <w:jc w:val="both"/>
        <w:rPr>
          <w:b/>
        </w:rPr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 xml:space="preserve">Предоставление субсидий бюджету Республики Карелия из бюджета района осуществляется в случаях и в порядке, установленных </w:t>
      </w:r>
      <w:hyperlink r:id="rId18" w:history="1">
        <w:r w:rsidRPr="006A0CE2">
          <w:t>статьей 25</w:t>
        </w:r>
      </w:hyperlink>
      <w:r w:rsidRPr="006A0CE2">
        <w:t xml:space="preserve"> Закона о межбюджетных отношениях в Республике Карелия.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A0CE2">
        <w:rPr>
          <w:b/>
        </w:rPr>
        <w:t>Статья 9. Иные межбюджетные трансферты бюджетам поселений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  <w:r w:rsidRPr="006A0CE2">
        <w:t>Иные межбюджетные трансферты бюджетам поселений из бюджета района (далее - иные межбюджетные трансферты) предоставляются в следующих случаях:</w:t>
      </w:r>
    </w:p>
    <w:p w:rsidR="006A0CE2" w:rsidRPr="006A0CE2" w:rsidRDefault="006A0CE2" w:rsidP="006A0CE2">
      <w:pPr>
        <w:ind w:firstLine="709"/>
        <w:jc w:val="both"/>
      </w:pPr>
      <w:r w:rsidRPr="006A0CE2">
        <w:t>- на поддержку мер по обеспечению сбалансированности бюджетов поселений;</w:t>
      </w:r>
    </w:p>
    <w:p w:rsidR="006A0CE2" w:rsidRPr="006A0CE2" w:rsidRDefault="006A0CE2" w:rsidP="006A0CE2">
      <w:pPr>
        <w:ind w:firstLine="709"/>
        <w:jc w:val="both"/>
      </w:pPr>
      <w:r w:rsidRPr="006A0CE2">
        <w:t>- на осуществление части полномочий по решению вопросов местного значения муниципального района в соответствии с заключенными соглашениями;</w:t>
      </w: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</w:pPr>
      <w:r w:rsidRPr="006A0CE2">
        <w:t xml:space="preserve">Иные межбюджетные трансферты из бюджета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</w:t>
      </w:r>
      <w:proofErr w:type="gramStart"/>
      <w:r w:rsidRPr="006A0CE2">
        <w:t>района  бюджетам</w:t>
      </w:r>
      <w:proofErr w:type="gramEnd"/>
      <w:r w:rsidRPr="006A0CE2">
        <w:t xml:space="preserve"> поселений предоставляются в пределах средств, предусмотренных Решением представительного органа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о бюджете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на очередной финансовый год и плановый период.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A0CE2">
        <w:t xml:space="preserve">Иные межбюджетные трансферты, предоставляются </w:t>
      </w:r>
      <w:proofErr w:type="gramStart"/>
      <w:r w:rsidRPr="006A0CE2">
        <w:t>в  порядке</w:t>
      </w:r>
      <w:proofErr w:type="gramEnd"/>
      <w:r w:rsidRPr="006A0CE2">
        <w:t xml:space="preserve">, установленном статьей 10 настоящего Положения  в соответствии с критериями отбора муниципальных образований и методикой, утвержденной Постановлением Администрации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района.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rPr>
          <w:b/>
        </w:rPr>
      </w:pPr>
      <w:r w:rsidRPr="006A0CE2">
        <w:rPr>
          <w:b/>
        </w:rPr>
        <w:lastRenderedPageBreak/>
        <w:t xml:space="preserve">Статья 10. Порядок предоставления иных межбюджетных трансфертов 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A0CE2" w:rsidRPr="006A0CE2" w:rsidRDefault="006A0CE2" w:rsidP="006A0CE2">
      <w:pPr>
        <w:numPr>
          <w:ilvl w:val="0"/>
          <w:numId w:val="7"/>
        </w:numPr>
        <w:ind w:left="0" w:firstLine="709"/>
        <w:jc w:val="both"/>
      </w:pPr>
      <w:r w:rsidRPr="006A0CE2">
        <w:t xml:space="preserve"> Основанием для предоставления межбюджетных трансфертов бюджету поселения на осуществление части полномочий по решению вопросов местного значения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при их передаче на уровень поселений, являются решение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о бюджете на текущий финансовый год (очередной финансовый год и плановый период) и соглашение о передаче органам местного самоуправления отдельных поселений осуществления части полномочий по решению вопросов местного значения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района.</w:t>
      </w:r>
    </w:p>
    <w:p w:rsidR="006A0CE2" w:rsidRPr="006A0CE2" w:rsidRDefault="006A0CE2" w:rsidP="006A0CE2">
      <w:pPr>
        <w:numPr>
          <w:ilvl w:val="0"/>
          <w:numId w:val="7"/>
        </w:numPr>
        <w:ind w:left="0" w:firstLine="709"/>
        <w:jc w:val="both"/>
      </w:pPr>
      <w:r w:rsidRPr="006A0CE2">
        <w:t xml:space="preserve">Объем и распределение иных межбюджетных трансфертов на осуществление части полномочий по решению вопросов местного значения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при их передаче на уровень поселений в соответствии с заключенными соглашениями утверждается решением Совета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о бюджете на текущий финансовый год (на текущий финансовый год и плановый период).</w:t>
      </w:r>
    </w:p>
    <w:p w:rsidR="006A0CE2" w:rsidRPr="006A0CE2" w:rsidRDefault="006A0CE2" w:rsidP="006A0CE2">
      <w:pPr>
        <w:numPr>
          <w:ilvl w:val="0"/>
          <w:numId w:val="7"/>
        </w:numPr>
        <w:ind w:left="0" w:firstLine="709"/>
        <w:jc w:val="both"/>
      </w:pPr>
      <w:r w:rsidRPr="006A0CE2">
        <w:t xml:space="preserve">Объем иных межбюджетных трансфертов на поддержку мер по обеспечению сбалансированности бюджетов поселений утверждается решением Совета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о бюджете на текущий финансовый год (на текущий финансовый год и плановый период).</w:t>
      </w:r>
    </w:p>
    <w:p w:rsidR="006A0CE2" w:rsidRPr="006A0CE2" w:rsidRDefault="006A0CE2" w:rsidP="006A0CE2">
      <w:pPr>
        <w:numPr>
          <w:ilvl w:val="0"/>
          <w:numId w:val="7"/>
        </w:numPr>
        <w:ind w:left="0" w:firstLine="709"/>
        <w:jc w:val="both"/>
      </w:pPr>
      <w:r w:rsidRPr="006A0CE2">
        <w:t>Иные межбюджетные трансферты на поддержку мер по обеспечению сбалансированности бюджетов поселений предоставляются на основании заключенного соглашения в случае, если налоговых и неналоговых поступлений в бюджет поселений недостаточно для обеспечения финансирования первоочередных обязательств поселений и с целью оказания дополнительной поддержки органам местного самоуправления поселений для осуществления ими своих полномочий на решение вопросов местного значения.</w:t>
      </w:r>
    </w:p>
    <w:p w:rsidR="006A0CE2" w:rsidRPr="006A0CE2" w:rsidRDefault="006A0CE2" w:rsidP="006A0CE2">
      <w:pPr>
        <w:numPr>
          <w:ilvl w:val="0"/>
          <w:numId w:val="7"/>
        </w:numPr>
        <w:ind w:left="0" w:firstLine="709"/>
        <w:jc w:val="both"/>
      </w:pPr>
      <w:r w:rsidRPr="006A0CE2">
        <w:t xml:space="preserve"> Распределение иных межбюджетных трансфертов на поддержку мер по обеспечению сбалансированности бюджетов поселений осуществляется на основании Постановления Администрации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района.</w:t>
      </w:r>
    </w:p>
    <w:p w:rsidR="006A0CE2" w:rsidRPr="006A0CE2" w:rsidRDefault="006A0CE2" w:rsidP="006A0CE2">
      <w:pPr>
        <w:ind w:firstLine="709"/>
        <w:jc w:val="both"/>
      </w:pPr>
      <w:r w:rsidRPr="006A0CE2">
        <w:t>6.</w:t>
      </w:r>
      <w:r w:rsidRPr="006A0CE2">
        <w:tab/>
        <w:t xml:space="preserve">Соглашение заключается в соответствии с Порядком, определенным уставом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 и (или) нормативно - правовым актом представительного органа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района.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6A0CE2" w:rsidRPr="006A0CE2" w:rsidRDefault="006A0CE2" w:rsidP="006A0CE2">
      <w:pPr>
        <w:ind w:firstLine="709"/>
        <w:jc w:val="both"/>
      </w:pPr>
      <w:r w:rsidRPr="006A0CE2">
        <w:t>7.</w:t>
      </w:r>
      <w:r w:rsidRPr="006A0CE2">
        <w:tab/>
        <w:t>Расходование средств, переданных в виде межбюджетных трансфертов на цели, не предусмотренные соглашением, не допускается.</w:t>
      </w:r>
    </w:p>
    <w:p w:rsidR="006A0CE2" w:rsidRPr="006A0CE2" w:rsidRDefault="006A0CE2" w:rsidP="006A0CE2">
      <w:pPr>
        <w:ind w:firstLine="709"/>
        <w:jc w:val="both"/>
      </w:pPr>
      <w:r w:rsidRPr="006A0CE2">
        <w:t>8.</w:t>
      </w:r>
      <w:r w:rsidRPr="006A0CE2">
        <w:tab/>
        <w:t xml:space="preserve">Подготовка проекта соглашения о предоставлении иных межбюджетных трансфертов осуществляется главным распорядителем средств бюджета </w:t>
      </w:r>
      <w:proofErr w:type="spellStart"/>
      <w:r w:rsidRPr="006A0CE2">
        <w:t>Олонецкого</w:t>
      </w:r>
      <w:proofErr w:type="spellEnd"/>
      <w:r w:rsidRPr="006A0CE2">
        <w:t xml:space="preserve"> национального муниципального района, осуществляющим перечисление иных межбюджетных трансфертов.</w:t>
      </w:r>
    </w:p>
    <w:p w:rsidR="006A0CE2" w:rsidRPr="006A0CE2" w:rsidRDefault="006A0CE2" w:rsidP="006A0CE2">
      <w:pPr>
        <w:widowControl w:val="0"/>
        <w:autoSpaceDE w:val="0"/>
        <w:autoSpaceDN w:val="0"/>
        <w:ind w:firstLine="709"/>
        <w:jc w:val="both"/>
        <w:rPr>
          <w:rFonts w:eastAsia="Calibri"/>
          <w:lang w:eastAsia="en-US"/>
        </w:rPr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p w:rsidR="006A0CE2" w:rsidRPr="006A0CE2" w:rsidRDefault="006A0CE2" w:rsidP="006A0CE2">
      <w:pPr>
        <w:autoSpaceDE w:val="0"/>
        <w:autoSpaceDN w:val="0"/>
        <w:adjustRightInd w:val="0"/>
        <w:jc w:val="both"/>
      </w:pPr>
    </w:p>
    <w:p w:rsidR="006A0CE2" w:rsidRPr="006A0CE2" w:rsidRDefault="006A0CE2" w:rsidP="006A0CE2">
      <w:pPr>
        <w:ind w:firstLine="709"/>
        <w:jc w:val="right"/>
      </w:pPr>
    </w:p>
    <w:p w:rsidR="006A0CE2" w:rsidRPr="006A0CE2" w:rsidRDefault="006A0CE2" w:rsidP="006A0CE2">
      <w:pPr>
        <w:ind w:left="5670" w:firstLine="709"/>
        <w:jc w:val="right"/>
      </w:pPr>
      <w:r w:rsidRPr="006A0CE2">
        <w:lastRenderedPageBreak/>
        <w:t>Приложение 1</w:t>
      </w:r>
    </w:p>
    <w:p w:rsidR="006A0CE2" w:rsidRPr="006A0CE2" w:rsidRDefault="006A0CE2" w:rsidP="006A0CE2">
      <w:pPr>
        <w:ind w:left="5670"/>
        <w:jc w:val="both"/>
      </w:pPr>
      <w:r w:rsidRPr="006A0CE2">
        <w:t xml:space="preserve">к Положению о межбюджетных отношениях в </w:t>
      </w:r>
      <w:proofErr w:type="spellStart"/>
      <w:r w:rsidRPr="006A0CE2">
        <w:t>Олонецком</w:t>
      </w:r>
      <w:proofErr w:type="spellEnd"/>
      <w:r w:rsidRPr="006A0CE2">
        <w:t xml:space="preserve"> национальном муниципальном районе</w:t>
      </w:r>
    </w:p>
    <w:p w:rsidR="006A0CE2" w:rsidRPr="006A0CE2" w:rsidRDefault="006A0CE2" w:rsidP="006A0CE2">
      <w:pPr>
        <w:ind w:firstLine="709"/>
        <w:jc w:val="right"/>
      </w:pPr>
    </w:p>
    <w:p w:rsidR="006A0CE2" w:rsidRPr="006A0CE2" w:rsidRDefault="006A0CE2" w:rsidP="006A0CE2">
      <w:pPr>
        <w:ind w:firstLine="709"/>
        <w:jc w:val="right"/>
      </w:pPr>
    </w:p>
    <w:p w:rsidR="006A0CE2" w:rsidRPr="006A0CE2" w:rsidRDefault="006A0CE2" w:rsidP="006A0CE2">
      <w:pPr>
        <w:ind w:firstLine="709"/>
        <w:jc w:val="center"/>
        <w:rPr>
          <w:b/>
        </w:rPr>
      </w:pPr>
      <w:r w:rsidRPr="006A0CE2">
        <w:rPr>
          <w:b/>
        </w:rPr>
        <w:t>СОСТАВ</w:t>
      </w:r>
    </w:p>
    <w:p w:rsidR="006A0CE2" w:rsidRPr="006A0CE2" w:rsidRDefault="006A0CE2" w:rsidP="006A0CE2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CE2">
        <w:rPr>
          <w:rFonts w:ascii="Times New Roman" w:hAnsi="Times New Roman" w:cs="Times New Roman"/>
          <w:sz w:val="24"/>
          <w:szCs w:val="24"/>
        </w:rPr>
        <w:t>показателей для расчета налогового</w:t>
      </w:r>
    </w:p>
    <w:p w:rsidR="006A0CE2" w:rsidRPr="006A0CE2" w:rsidRDefault="006A0CE2" w:rsidP="006A0CE2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0CE2">
        <w:rPr>
          <w:rFonts w:ascii="Times New Roman" w:hAnsi="Times New Roman" w:cs="Times New Roman"/>
          <w:sz w:val="24"/>
          <w:szCs w:val="24"/>
        </w:rPr>
        <w:t xml:space="preserve">потенциала соответствующего поселения, входящего в состав </w:t>
      </w:r>
      <w:proofErr w:type="spellStart"/>
      <w:r w:rsidRPr="006A0CE2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6A0CE2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</w:p>
    <w:p w:rsidR="006A0CE2" w:rsidRPr="006A0CE2" w:rsidRDefault="006A0CE2" w:rsidP="006A0CE2">
      <w:pPr>
        <w:autoSpaceDE w:val="0"/>
        <w:autoSpaceDN w:val="0"/>
        <w:adjustRightInd w:val="0"/>
        <w:ind w:firstLine="709"/>
        <w:jc w:val="both"/>
      </w:pPr>
    </w:p>
    <w:tbl>
      <w:tblPr>
        <w:tblW w:w="96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3915"/>
        <w:gridCol w:w="3375"/>
      </w:tblGrid>
      <w:tr w:rsidR="006A0CE2" w:rsidRPr="006A0CE2" w:rsidTr="00DC3B10">
        <w:trPr>
          <w:cantSplit/>
          <w:trHeight w:val="36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>налога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>налоговую базу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</w:tr>
      <w:tr w:rsidR="006A0CE2" w:rsidRPr="006A0CE2" w:rsidTr="00DC3B10">
        <w:trPr>
          <w:cantSplit/>
          <w:trHeight w:val="84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  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>Общая сумма доходов физических лиц, подлежащая налогообложению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 xml:space="preserve">данные отчета        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территориального органа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федеральной налоговой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службы по Республике 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Карелия по форме     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5-НДФЛ                </w:t>
            </w:r>
          </w:p>
        </w:tc>
      </w:tr>
      <w:tr w:rsidR="006A0CE2" w:rsidRPr="006A0CE2" w:rsidTr="00DC3B10">
        <w:trPr>
          <w:cantSplit/>
          <w:trHeight w:val="72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>Кадастровая стоимость земли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 xml:space="preserve">данные отчета        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территориального органа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федеральной налоговой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службы по Республике 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Карелия по форме № 5-МН </w:t>
            </w:r>
          </w:p>
        </w:tc>
      </w:tr>
      <w:tr w:rsidR="006A0CE2" w:rsidRPr="006A0CE2" w:rsidTr="00DC3B10">
        <w:trPr>
          <w:cantSplit/>
          <w:trHeight w:val="840"/>
        </w:trPr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физических лиц       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>Инвентаризационная стоимость строений, помещений и сооружений, находящихся в собственности физических лиц, подлежащая налогообложению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0CE2" w:rsidRPr="006A0CE2" w:rsidRDefault="006A0CE2" w:rsidP="006A0CE2">
            <w:pPr>
              <w:pStyle w:val="ConsPlusCel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A0CE2">
              <w:rPr>
                <w:rFonts w:ascii="Times New Roman" w:hAnsi="Times New Roman" w:cs="Times New Roman"/>
                <w:sz w:val="24"/>
                <w:szCs w:val="24"/>
              </w:rPr>
              <w:t xml:space="preserve">данные отчета        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территориального органа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федеральной налоговой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службы по Республике    </w:t>
            </w:r>
            <w:r w:rsidRPr="006A0C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Карелия по форме № 5-МН </w:t>
            </w:r>
          </w:p>
        </w:tc>
      </w:tr>
    </w:tbl>
    <w:p w:rsidR="006A0CE2" w:rsidRPr="006A0CE2" w:rsidRDefault="006A0CE2" w:rsidP="006A0CE2">
      <w:pPr>
        <w:ind w:firstLine="709"/>
        <w:jc w:val="both"/>
      </w:pPr>
    </w:p>
    <w:p w:rsidR="006A0CE2" w:rsidRPr="006A0CE2" w:rsidRDefault="006A0CE2" w:rsidP="006A0C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CE2" w:rsidRPr="006A0CE2" w:rsidRDefault="006A0CE2" w:rsidP="006A0CE2">
      <w:pPr>
        <w:ind w:firstLine="709"/>
        <w:jc w:val="both"/>
        <w:rPr>
          <w:b/>
        </w:rPr>
      </w:pPr>
    </w:p>
    <w:p w:rsidR="006A0CE2" w:rsidRPr="006A0CE2" w:rsidRDefault="006A0CE2" w:rsidP="006A0CE2">
      <w:pPr>
        <w:ind w:firstLine="709"/>
        <w:jc w:val="both"/>
        <w:rPr>
          <w:b/>
        </w:rPr>
      </w:pPr>
    </w:p>
    <w:p w:rsidR="006A0CE2" w:rsidRPr="006A0CE2" w:rsidRDefault="006A0CE2" w:rsidP="006A0CE2">
      <w:pPr>
        <w:ind w:firstLine="709"/>
        <w:jc w:val="both"/>
        <w:rPr>
          <w:b/>
        </w:rPr>
      </w:pPr>
    </w:p>
    <w:p w:rsidR="006A0CE2" w:rsidRPr="006A0CE2" w:rsidRDefault="006A0CE2" w:rsidP="006A0CE2">
      <w:pPr>
        <w:ind w:firstLine="709"/>
        <w:jc w:val="both"/>
        <w:rPr>
          <w:b/>
        </w:rPr>
      </w:pPr>
    </w:p>
    <w:p w:rsidR="006A0CE2" w:rsidRPr="006A0CE2" w:rsidRDefault="006A0CE2" w:rsidP="006A0CE2">
      <w:pPr>
        <w:ind w:firstLine="709"/>
        <w:jc w:val="both"/>
        <w:rPr>
          <w:b/>
        </w:rPr>
      </w:pPr>
    </w:p>
    <w:p w:rsidR="006A0CE2" w:rsidRPr="006A0CE2" w:rsidRDefault="006A0CE2" w:rsidP="006A0CE2">
      <w:pPr>
        <w:ind w:firstLine="709"/>
        <w:jc w:val="both"/>
        <w:rPr>
          <w:b/>
        </w:rPr>
      </w:pPr>
    </w:p>
    <w:p w:rsidR="006A0CE2" w:rsidRDefault="006A0CE2" w:rsidP="006A0CE2">
      <w:pPr>
        <w:jc w:val="both"/>
        <w:rPr>
          <w:b/>
          <w:sz w:val="28"/>
          <w:szCs w:val="28"/>
        </w:rPr>
      </w:pPr>
    </w:p>
    <w:p w:rsidR="006A0CE2" w:rsidRDefault="006A0CE2" w:rsidP="006A0CE2">
      <w:pPr>
        <w:jc w:val="both"/>
        <w:rPr>
          <w:b/>
          <w:sz w:val="28"/>
          <w:szCs w:val="28"/>
        </w:rPr>
      </w:pPr>
    </w:p>
    <w:p w:rsidR="00104468" w:rsidRPr="007A09F8" w:rsidRDefault="00104468" w:rsidP="005C1A01">
      <w:pPr>
        <w:jc w:val="both"/>
        <w:rPr>
          <w:sz w:val="28"/>
          <w:szCs w:val="28"/>
        </w:rPr>
      </w:pPr>
    </w:p>
    <w:sectPr w:rsidR="00104468" w:rsidRPr="007A09F8" w:rsidSect="007A09F8">
      <w:footerReference w:type="even" r:id="rId19"/>
      <w:footerReference w:type="default" r:id="rId20"/>
      <w:pgSz w:w="11906" w:h="16838"/>
      <w:pgMar w:top="1135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5A2" w:rsidRDefault="007535A2">
      <w:r>
        <w:separator/>
      </w:r>
    </w:p>
  </w:endnote>
  <w:endnote w:type="continuationSeparator" w:id="0">
    <w:p w:rsidR="007535A2" w:rsidRDefault="0075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5A8E">
      <w:rPr>
        <w:rStyle w:val="a5"/>
        <w:noProof/>
      </w:rPr>
      <w:t>2</w: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5A2" w:rsidRDefault="007535A2">
      <w:r>
        <w:separator/>
      </w:r>
    </w:p>
  </w:footnote>
  <w:footnote w:type="continuationSeparator" w:id="0">
    <w:p w:rsidR="007535A2" w:rsidRDefault="0075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D0C19"/>
    <w:multiLevelType w:val="hybridMultilevel"/>
    <w:tmpl w:val="9AE82D34"/>
    <w:lvl w:ilvl="0" w:tplc="7D7A4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27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C4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04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44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6D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EA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8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AD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747708"/>
    <w:multiLevelType w:val="hybridMultilevel"/>
    <w:tmpl w:val="5B4E583E"/>
    <w:lvl w:ilvl="0" w:tplc="199486D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EC86BF2"/>
    <w:multiLevelType w:val="hybridMultilevel"/>
    <w:tmpl w:val="DB04C806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>
    <w:nsid w:val="3F073E0E"/>
    <w:multiLevelType w:val="hybridMultilevel"/>
    <w:tmpl w:val="DA766180"/>
    <w:lvl w:ilvl="0" w:tplc="DE643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ED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60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EE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C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E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E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AA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ED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3E1440F"/>
    <w:multiLevelType w:val="hybridMultilevel"/>
    <w:tmpl w:val="534AA626"/>
    <w:lvl w:ilvl="0" w:tplc="688AD1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A60C5"/>
    <w:multiLevelType w:val="hybridMultilevel"/>
    <w:tmpl w:val="86980CE8"/>
    <w:lvl w:ilvl="0" w:tplc="93F23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21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83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87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0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A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60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2D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95772CD"/>
    <w:multiLevelType w:val="hybridMultilevel"/>
    <w:tmpl w:val="75B620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2C"/>
    <w:rsid w:val="0000569C"/>
    <w:rsid w:val="00006CD7"/>
    <w:rsid w:val="00025A97"/>
    <w:rsid w:val="00036353"/>
    <w:rsid w:val="00050C3C"/>
    <w:rsid w:val="000A2251"/>
    <w:rsid w:val="000C1587"/>
    <w:rsid w:val="000C2A13"/>
    <w:rsid w:val="000D1C5F"/>
    <w:rsid w:val="000E1260"/>
    <w:rsid w:val="00104468"/>
    <w:rsid w:val="00127866"/>
    <w:rsid w:val="001908BD"/>
    <w:rsid w:val="00195478"/>
    <w:rsid w:val="001D7B15"/>
    <w:rsid w:val="00235EB2"/>
    <w:rsid w:val="00242714"/>
    <w:rsid w:val="002732A6"/>
    <w:rsid w:val="00294DAF"/>
    <w:rsid w:val="002A2E1B"/>
    <w:rsid w:val="002A6E99"/>
    <w:rsid w:val="002C78F5"/>
    <w:rsid w:val="002F0DBC"/>
    <w:rsid w:val="00314EF1"/>
    <w:rsid w:val="003240C8"/>
    <w:rsid w:val="003421E7"/>
    <w:rsid w:val="00342F63"/>
    <w:rsid w:val="00347883"/>
    <w:rsid w:val="003812DC"/>
    <w:rsid w:val="00390984"/>
    <w:rsid w:val="00391BE3"/>
    <w:rsid w:val="003C1824"/>
    <w:rsid w:val="003F27E0"/>
    <w:rsid w:val="003F30E4"/>
    <w:rsid w:val="003F7ED2"/>
    <w:rsid w:val="0040167F"/>
    <w:rsid w:val="00404B95"/>
    <w:rsid w:val="0040658C"/>
    <w:rsid w:val="00406E17"/>
    <w:rsid w:val="00414086"/>
    <w:rsid w:val="00415A26"/>
    <w:rsid w:val="0041772C"/>
    <w:rsid w:val="0047043D"/>
    <w:rsid w:val="004A2B26"/>
    <w:rsid w:val="004B55CB"/>
    <w:rsid w:val="004E2CEC"/>
    <w:rsid w:val="004E49E3"/>
    <w:rsid w:val="004F2D31"/>
    <w:rsid w:val="005040A3"/>
    <w:rsid w:val="00514BE9"/>
    <w:rsid w:val="0053168F"/>
    <w:rsid w:val="00554749"/>
    <w:rsid w:val="00564862"/>
    <w:rsid w:val="00583CE6"/>
    <w:rsid w:val="00584601"/>
    <w:rsid w:val="005A1386"/>
    <w:rsid w:val="005C1A01"/>
    <w:rsid w:val="00637F3B"/>
    <w:rsid w:val="00642675"/>
    <w:rsid w:val="00646F93"/>
    <w:rsid w:val="00651092"/>
    <w:rsid w:val="00651B03"/>
    <w:rsid w:val="00677B12"/>
    <w:rsid w:val="006A0CE2"/>
    <w:rsid w:val="006A5743"/>
    <w:rsid w:val="006A6E68"/>
    <w:rsid w:val="006D2D09"/>
    <w:rsid w:val="006F6D91"/>
    <w:rsid w:val="00747AAC"/>
    <w:rsid w:val="007535A2"/>
    <w:rsid w:val="0076401E"/>
    <w:rsid w:val="00767B35"/>
    <w:rsid w:val="00774B46"/>
    <w:rsid w:val="007836D8"/>
    <w:rsid w:val="007852A8"/>
    <w:rsid w:val="007A09F8"/>
    <w:rsid w:val="007A5CF4"/>
    <w:rsid w:val="007B6735"/>
    <w:rsid w:val="007D78DB"/>
    <w:rsid w:val="008117C9"/>
    <w:rsid w:val="00874054"/>
    <w:rsid w:val="008A060B"/>
    <w:rsid w:val="008D0B6C"/>
    <w:rsid w:val="008E54CA"/>
    <w:rsid w:val="008F565C"/>
    <w:rsid w:val="008F6F56"/>
    <w:rsid w:val="00921AC9"/>
    <w:rsid w:val="009247EA"/>
    <w:rsid w:val="0094187F"/>
    <w:rsid w:val="009616EE"/>
    <w:rsid w:val="009A69D5"/>
    <w:rsid w:val="009C7E7D"/>
    <w:rsid w:val="009D52C1"/>
    <w:rsid w:val="00A24584"/>
    <w:rsid w:val="00A46BE9"/>
    <w:rsid w:val="00A66796"/>
    <w:rsid w:val="00AA6A3D"/>
    <w:rsid w:val="00AB3F91"/>
    <w:rsid w:val="00AC002F"/>
    <w:rsid w:val="00AC5B49"/>
    <w:rsid w:val="00AE4B62"/>
    <w:rsid w:val="00AE4FDE"/>
    <w:rsid w:val="00B010F3"/>
    <w:rsid w:val="00B205DC"/>
    <w:rsid w:val="00B55916"/>
    <w:rsid w:val="00B63FF0"/>
    <w:rsid w:val="00B657EB"/>
    <w:rsid w:val="00B844C8"/>
    <w:rsid w:val="00B8723B"/>
    <w:rsid w:val="00BB29A2"/>
    <w:rsid w:val="00BB5DD1"/>
    <w:rsid w:val="00BC78C8"/>
    <w:rsid w:val="00BD2FE6"/>
    <w:rsid w:val="00C51492"/>
    <w:rsid w:val="00C65A8E"/>
    <w:rsid w:val="00C72B21"/>
    <w:rsid w:val="00CA6CE3"/>
    <w:rsid w:val="00CC69B9"/>
    <w:rsid w:val="00CF0931"/>
    <w:rsid w:val="00CF22A5"/>
    <w:rsid w:val="00CF51FF"/>
    <w:rsid w:val="00CF64CE"/>
    <w:rsid w:val="00D01A40"/>
    <w:rsid w:val="00D01D06"/>
    <w:rsid w:val="00D27E01"/>
    <w:rsid w:val="00DB1DFC"/>
    <w:rsid w:val="00DD5AF8"/>
    <w:rsid w:val="00DD5FA3"/>
    <w:rsid w:val="00DE0136"/>
    <w:rsid w:val="00E4628D"/>
    <w:rsid w:val="00E52832"/>
    <w:rsid w:val="00E85575"/>
    <w:rsid w:val="00EE2CD3"/>
    <w:rsid w:val="00F17B73"/>
    <w:rsid w:val="00F26E9D"/>
    <w:rsid w:val="00F339DE"/>
    <w:rsid w:val="00F725BE"/>
    <w:rsid w:val="00F92428"/>
    <w:rsid w:val="00FB5853"/>
    <w:rsid w:val="00FC67A0"/>
    <w:rsid w:val="00FD59B1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4B0F1-EA9B-45AA-8F02-448BAF79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77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7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772C"/>
  </w:style>
  <w:style w:type="paragraph" w:styleId="a6">
    <w:name w:val="Balloon Text"/>
    <w:basedOn w:val="a"/>
    <w:link w:val="a7"/>
    <w:uiPriority w:val="99"/>
    <w:semiHidden/>
    <w:unhideWhenUsed/>
    <w:rsid w:val="00651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14BE9"/>
    <w:pPr>
      <w:ind w:left="720"/>
      <w:contextualSpacing/>
    </w:pPr>
  </w:style>
  <w:style w:type="paragraph" w:customStyle="1" w:styleId="ConsPlusNormal">
    <w:name w:val="ConsPlusNormal"/>
    <w:link w:val="ConsPlusNormal0"/>
    <w:rsid w:val="006A0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0C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A0C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A0CE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11DC596180DA3ECD5673E0527E448944EB359D8ED22F63B0B5E0FDBDE2EFBB32B781513CCA0J7G7O" TargetMode="External"/><Relationship Id="rId18" Type="http://schemas.openxmlformats.org/officeDocument/2006/relationships/hyperlink" Target="https://login.consultant.ru/link/?req=doc&amp;base=RLAW904&amp;n=615352&amp;dst=10017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75&amp;dst=100575" TargetMode="External"/><Relationship Id="rId17" Type="http://schemas.openxmlformats.org/officeDocument/2006/relationships/hyperlink" Target="https://login.consultant.ru/link/?req=doc&amp;base=LAW&amp;n=469774&amp;dst=5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0713&amp;dst=214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0713&amp;dst=21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0713&amp;dst=2068" TargetMode="External"/><Relationship Id="rId10" Type="http://schemas.openxmlformats.org/officeDocument/2006/relationships/hyperlink" Target="https://login.consultant.ru/link/?req=doc&amp;base=LAW&amp;n=470713&amp;dst=206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0713&amp;dst=4184" TargetMode="External"/><Relationship Id="rId14" Type="http://schemas.openxmlformats.org/officeDocument/2006/relationships/hyperlink" Target="consultantplus://offline/ref=151A541E685E27C21611FC2486A93D33CCDDDF65723C8D25D90F560427AFB39EFD956DB52F8725FD8558F9J5d4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83865-F713-4347-8D17-CC8C2EDB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5034</Words>
  <Characters>28698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user</cp:lastModifiedBy>
  <cp:revision>4</cp:revision>
  <cp:lastPrinted>2025-08-27T11:08:00Z</cp:lastPrinted>
  <dcterms:created xsi:type="dcterms:W3CDTF">2025-08-22T07:25:00Z</dcterms:created>
  <dcterms:modified xsi:type="dcterms:W3CDTF">2025-08-27T11:09:00Z</dcterms:modified>
</cp:coreProperties>
</file>